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</w:pPr>
      <w:r>
        <w:rPr>
          <w:b/>
          <w:color w:val="143D8D"/>
          <w:sz w:val="15"/>
        </w:rPr>
        <w:t>TEXTO DE ESPECIFICAÇÃO · ARCHIVENT</w:t>
      </w:r>
    </w:p>
    <w:p>
      <w:pPr>
        <w:spacing w:before="0" w:after="60" w:line="252" w:lineRule="auto"/>
      </w:pPr>
      <w:r>
        <w:rPr>
          <w:b/>
          <w:color w:val="14202B"/>
          <w:sz w:val="40"/>
        </w:rPr>
        <w:t>Invisivent COMFORT High</w:t>
      </w:r>
    </w:p>
    <w:p>
      <w:pPr>
        <w:spacing w:before="0" w:after="200" w:line="264" w:lineRule="auto"/>
        <w:pBdr>
          <w:bottom w:val="single" w:sz="8" w:space="4" w:color="143D8D"/>
        </w:pBdr>
      </w:pPr>
      <w:r>
        <w:rPr>
          <w:color w:val="55606E"/>
          <w:sz w:val="21"/>
        </w:rPr>
        <w:t>Memória descritiva · caderno de encargos · mapa de quantidades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CellMar>
          <w:top w:w="113" w:type="dxa"/>
          <w:bottom w:w="113" w:type="dxa"/>
          <w:left w:w="170" w:type="dxa"/>
          <w:right w:w="170" w:type="dxa"/>
        </w:tblCellMar>
      </w:tblPr>
      <w:tblGrid>
        <w:gridCol w:w="9638"/>
      </w:tblGrid>
      <w:tr>
        <w:tc>
          <w:tcPr>
            <w:tcW w:type="dxa" w:w="9638"/>
            <w:shd w:val="clear" w:color="auto" w:fill="EFF1F7"/>
            <w:tcBorders>
              <w:left w:val="single" w:sz="18" w:color="143D8D"/>
            </w:tcBorders>
          </w:tcPr>
          <w:p>
            <w:pPr>
              <w:spacing w:before="0" w:after="0" w:line="276" w:lineRule="auto"/>
            </w:pPr>
            <w:r>
              <w:rPr>
                <w:color w:val="14202B"/>
                <w:sz w:val="18"/>
              </w:rPr>
              <w:t>Os campos entre parênteses retos [ ] completam-se com os dados do projeto. Quando um parágrafo apresenta opções, mantém-se apenas a que corresponde à solução adotada e eliminam-se as restantes. Os valores são os da base de dados archivent e coincidem com os das fichas técnicas e da calculadora archivent. O documento destina-se a ser copiado para a memória descritiva, o caderno de encargos e o mapa de quantidades do projeto.</w:t>
            </w:r>
          </w:p>
        </w:tc>
      </w:tr>
    </w:tbl>
    <w:p>
      <w:pPr>
        <w:spacing w:after="0"/>
      </w:pPr>
    </w:p>
    <w:p>
      <w:pPr>
        <w:keepNext/>
        <w:spacing w:before="280" w:after="100" w:line="252" w:lineRule="auto"/>
        <w:pBdr>
          <w:bottom w:val="single" w:sz="6" w:space="4" w:color="D5DCEA"/>
        </w:pBdr>
      </w:pPr>
      <w:r>
        <w:rPr>
          <w:b/>
          <w:color w:val="143D8D"/>
          <w:sz w:val="27"/>
        </w:rPr>
        <w:t>1. Texto técnico-justificativo</w:t>
      </w:r>
    </w:p>
    <w:p>
      <w:pPr>
        <w:spacing w:before="0" w:after="100" w:line="288" w:lineRule="auto"/>
      </w:pPr>
      <w:r>
        <w:rPr>
          <w:sz w:val="20"/>
        </w:rPr>
        <w:t>Para integrar na memória descritiva do projeto de arquitetura ou do projeto de ventilação.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Admissão de ar</w:t>
      </w:r>
    </w:p>
    <w:p>
      <w:pPr>
        <w:spacing w:before="0" w:after="100" w:line="288" w:lineRule="auto"/>
      </w:pPr>
      <w:r>
        <w:rPr>
          <w:sz w:val="20"/>
        </w:rPr>
        <w:t xml:space="preserve">A admissão de ar novo nos compartimentos principais (sala e quartos) é assegurada por grelhas autorreguláveis </w:t>
      </w:r>
      <w:r>
        <w:rPr>
          <w:b/>
          <w:sz w:val="20"/>
        </w:rPr>
        <w:t>Invisivent COMFORT High</w:t>
      </w:r>
      <w:r>
        <w:rPr>
          <w:sz w:val="20"/>
        </w:rPr>
        <w:t xml:space="preserve"> da RENSON, fornecidas pela VENTO Portugal, montadas sobre o aro superior da caixilharia, em toda a largura dos vãos. A grelha fica oculta pelo aro e não reduz a área envidraçada.</w:t>
      </w:r>
    </w:p>
    <w:p>
      <w:pPr>
        <w:spacing w:before="0" w:after="100" w:line="288" w:lineRule="auto"/>
      </w:pPr>
      <w:r>
        <w:rPr>
          <w:sz w:val="20"/>
        </w:rPr>
        <w:t>A grelha é autorregulável a partir de 10 Pa, classe P3, com válvula antirretorno: uma palheta interior fecha progressivamente quando a diferença de pressão aumenta, o que mantém o caudal estável e limita as correntes de ar com vento forte. Destina-se a sistemas com extração mecânica, que mantêm a habitação em depressão, e dimensiona-se a 10 Pa.</w:t>
      </w:r>
    </w:p>
    <w:p>
      <w:pPr>
        <w:spacing w:before="0" w:after="100" w:line="288" w:lineRule="auto"/>
      </w:pPr>
      <w:r>
        <w:rPr>
          <w:sz w:val="20"/>
        </w:rPr>
        <w:t>Caudal por metro útil de grelha: 16,8 m³/h a 2 Pa, 44,6 m³/h a 10 Pa e 65,5 m³/h a 20 Pa. O caudal de cada grelha resulta do caudal por metro útil multiplicado pelo comprimento útil, igual à largura do vão menos 100 mm (dois topos de 50 mm). Os caudais de projeto por compartimento são os seguintes: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5DCEA"/>
          <w:left w:val="nil"/>
          <w:bottom w:val="single" w:sz="4" w:color="D5DCEA"/>
          <w:right w:val="nil"/>
          <w:insideH w:val="single" w:sz="4" w:color="D5DCEA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2891"/>
        <w:gridCol w:w="1638"/>
        <w:gridCol w:w="1638"/>
        <w:gridCol w:w="2120"/>
        <w:gridCol w:w="1349"/>
      </w:tblGrid>
      <w:tr>
        <w:trPr>
          <w:tblHeader w:val="true"/>
          <w:cantSplit/>
        </w:trPr>
        <w:tc>
          <w:tcPr>
            <w:tcW w:type="dxa" w:w="2891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Compartimento</w:t>
            </w:r>
          </w:p>
        </w:tc>
        <w:tc>
          <w:tcPr>
            <w:tcW w:type="dxa" w:w="1638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Largura do vão (mm)</w:t>
            </w:r>
          </w:p>
        </w:tc>
        <w:tc>
          <w:tcPr>
            <w:tcW w:type="dxa" w:w="1638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Comprimento útil (mm)</w:t>
            </w:r>
          </w:p>
        </w:tc>
        <w:tc>
          <w:tcPr>
            <w:tcW w:type="dxa" w:w="2120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Caudal de projeto a 10 Pa (m³/h)</w:t>
            </w:r>
          </w:p>
        </w:tc>
        <w:tc>
          <w:tcPr>
            <w:tcW w:type="dxa" w:w="1349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Abertura</w:t>
            </w:r>
          </w:p>
        </w:tc>
      </w:tr>
      <w:tr>
        <w:trPr>
          <w:cantSplit/>
        </w:trPr>
        <w:tc>
          <w:tcPr>
            <w:tcW w:type="dxa" w:w="289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[Sala]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212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1349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[100 %]</w:t>
            </w:r>
          </w:p>
        </w:tc>
      </w:tr>
      <w:tr>
        <w:trPr>
          <w:cantSplit/>
        </w:trPr>
        <w:tc>
          <w:tcPr>
            <w:tcW w:type="dxa" w:w="2891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[Quarto 1]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212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1349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289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[Quarto 2]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212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1349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</w:tbl>
    <w:p>
      <w:pPr>
        <w:spacing w:before="0" w:after="80" w:line="240" w:lineRule="auto"/>
      </w:pPr>
    </w:p>
    <w:p>
      <w:pPr>
        <w:spacing w:before="0" w:after="100" w:line="288" w:lineRule="auto"/>
      </w:pPr>
      <w:r>
        <w:rPr>
          <w:sz w:val="20"/>
        </w:rPr>
        <w:t>Quando a grelha oferece caudal superior ao necessário, não se encurta: o caudal reduz-se pela posição da válvula (5 posições, de fechada a totalmente aberta), com clips de bloqueio quando admissíveis, ou com uma versão de menor caudal.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Exaustão</w:t>
      </w:r>
    </w:p>
    <w:p>
      <w:pPr>
        <w:keepNext/>
        <w:spacing w:before="80" w:after="40" w:line="264" w:lineRule="auto"/>
      </w:pPr>
      <w:r>
        <w:rPr>
          <w:b/>
          <w:i w:val="0"/>
          <w:color w:val="143D8D"/>
          <w:sz w:val="18"/>
        </w:rPr>
        <w:t>[Opção A · extração mecânica permanente com controlo inteligente]</w:t>
      </w:r>
    </w:p>
    <w:p>
      <w:pPr>
        <w:spacing w:before="0" w:after="100" w:line="288" w:lineRule="auto"/>
      </w:pPr>
      <w:r>
        <w:rPr>
          <w:sz w:val="20"/>
        </w:rPr>
        <w:t xml:space="preserve">A extração faz-se por uma unidade centralizada </w:t>
      </w:r>
      <w:r>
        <w:rPr>
          <w:b/>
          <w:sz w:val="20"/>
        </w:rPr>
        <w:t>Healthbox Go</w:t>
      </w:r>
      <w:r>
        <w:rPr>
          <w:sz w:val="20"/>
        </w:rPr>
        <w:t xml:space="preserve"> da RENSON, com controlo inteligente por sensores de humidade relativa, CO₂ e COV, ligada por condutas a bocas de extração AEROO na cozinha, nas instalações sanitárias e na lavandaria. A unidade regula o caudal de cada compartimento em função da necessidade medida e mantém a habitação em ligeira depressão; o ar novo entra pelas grelhas dos compartimentos principais.</w:t>
      </w:r>
    </w:p>
    <w:p>
      <w:pPr>
        <w:keepNext/>
        <w:spacing w:before="80" w:after="40" w:line="264" w:lineRule="auto"/>
      </w:pPr>
      <w:r>
        <w:rPr>
          <w:b/>
          <w:i w:val="0"/>
          <w:color w:val="143D8D"/>
          <w:sz w:val="18"/>
        </w:rPr>
        <w:t>[Opção B · extração mecânica permanente com comando manual]</w:t>
      </w:r>
    </w:p>
    <w:p>
      <w:pPr>
        <w:spacing w:before="0" w:after="100" w:line="288" w:lineRule="auto"/>
      </w:pPr>
      <w:r>
        <w:rPr>
          <w:sz w:val="20"/>
        </w:rPr>
        <w:t xml:space="preserve">A extração faz-se por uma unidade centralizada </w:t>
      </w:r>
      <w:r>
        <w:rPr>
          <w:b/>
          <w:sz w:val="20"/>
        </w:rPr>
        <w:t>Cbase</w:t>
      </w:r>
      <w:r>
        <w:rPr>
          <w:sz w:val="20"/>
        </w:rPr>
        <w:t xml:space="preserve"> da RENSON, com comando manual, comutador de 3 posições (mínimo, normal, reforçado), ligada por condutas a bocas de extração AEROO na cozinha, nas instalações sanitárias e na lavandaria, em funcionamento permanente; o ar novo entra pelas grelhas dos compartimentos principais.</w:t>
      </w:r>
    </w:p>
    <w:p>
      <w:pPr>
        <w:spacing w:before="0" w:after="100" w:line="288" w:lineRule="auto"/>
      </w:pPr>
      <w:r>
        <w:rPr>
          <w:sz w:val="20"/>
        </w:rPr>
        <w:t>O exaustor da cozinha dispõe de compensação de caudal ou funciona em recirculação.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Desempenho acústico e térmico</w:t>
      </w:r>
    </w:p>
    <w:p>
      <w:pPr>
        <w:spacing w:before="0" w:after="100" w:line="288" w:lineRule="auto"/>
      </w:pPr>
      <w:r>
        <w:rPr>
          <w:sz w:val="20"/>
        </w:rPr>
        <w:t>Isolamento sonoro a sons aéreos D</w:t>
      </w:r>
      <w:r>
        <w:rPr>
          <w:sz w:val="20"/>
          <w:vertAlign w:val="subscript"/>
        </w:rPr>
        <w:t>n,e,w</w:t>
      </w:r>
      <w:r>
        <w:rPr>
          <w:sz w:val="20"/>
        </w:rPr>
        <w:t xml:space="preserve"> (C;C</w:t>
      </w:r>
      <w:r>
        <w:rPr>
          <w:sz w:val="20"/>
          <w:vertAlign w:val="subscript"/>
        </w:rPr>
        <w:t>tr</w:t>
      </w:r>
      <w:r>
        <w:rPr>
          <w:sz w:val="20"/>
        </w:rPr>
        <w:t>), para 1 m de grelha: 39 (0;−2) dB em posição aberta e 51 (−1;−3) dB em posição fechada. Para o comprimento real, o valor corrige-se pela expressão D</w:t>
      </w:r>
      <w:r>
        <w:rPr>
          <w:sz w:val="20"/>
          <w:vertAlign w:val="subscript"/>
        </w:rPr>
        <w:t>n,e,w</w:t>
      </w:r>
      <w:r>
        <w:rPr>
          <w:sz w:val="20"/>
        </w:rPr>
        <w:t>(L) = D</w:t>
      </w:r>
      <w:r>
        <w:rPr>
          <w:sz w:val="20"/>
          <w:vertAlign w:val="subscript"/>
        </w:rPr>
        <w:t>n,e,w,1 m</w:t>
      </w:r>
      <w:r>
        <w:rPr>
          <w:sz w:val="20"/>
        </w:rPr>
        <w:t xml:space="preserve"> + 10 · log</w:t>
      </w:r>
      <w:r>
        <w:rPr>
          <w:sz w:val="20"/>
          <w:vertAlign w:val="subscript"/>
        </w:rPr>
        <w:t>10</w:t>
      </w:r>
      <w:r>
        <w:rPr>
          <w:sz w:val="20"/>
        </w:rPr>
        <w:t>(1000 / L), em que D</w:t>
      </w:r>
      <w:r>
        <w:rPr>
          <w:sz w:val="20"/>
          <w:vertAlign w:val="subscript"/>
        </w:rPr>
        <w:t>n,e,w</w:t>
      </w:r>
      <w:r>
        <w:rPr>
          <w:sz w:val="20"/>
        </w:rPr>
        <w:t>(L) é o isolamento da grelha com o comprimento L, em dB; D</w:t>
      </w:r>
      <w:r>
        <w:rPr>
          <w:sz w:val="20"/>
          <w:vertAlign w:val="subscript"/>
        </w:rPr>
        <w:t>n,e,w,1 m</w:t>
      </w:r>
      <w:r>
        <w:rPr>
          <w:sz w:val="20"/>
        </w:rPr>
        <w:t>, o valor declarado para 1 m de grelha, em dB; e L, o comprimento da grelha, em mm. Fator de temperatura f = 0,86 (EN ISO 13788) e coeficiente de transmissão térmica U = 1,8 W/(m²·K).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Versão e configuração</w:t>
      </w:r>
    </w:p>
    <w:p>
      <w:pPr>
        <w:spacing w:before="0" w:after="100" w:line="288" w:lineRule="auto"/>
      </w:pPr>
      <w:r>
        <w:rPr>
          <w:sz w:val="20"/>
        </w:rPr>
        <w:t>Configuração [standard | com perfil de remate exterior | High-Rise], com altura construtiva de 65 mm na configuração standard e 66,5 mm com perfil de remate exterior ou High-Rise. O perfil de remate exterior aplica-se em vãos sem proteção eficaz contra a chuva (persiana exterior, pala). A configuração High-Rise (perfil de remate exterior, reforço interior, parafusos e clips adicionais) aplica-se em zonas costeiras e a partir do terceiro piso acima do solo, inclusive.</w:t>
      </w:r>
    </w:p>
    <w:p>
      <w:pPr>
        <w:spacing w:before="0" w:after="100" w:line="288" w:lineRule="auto"/>
      </w:pPr>
      <w:r>
        <w:rPr>
          <w:sz w:val="20"/>
        </w:rPr>
        <w:t>Versão para aros com profundidade de 83 a 112 mm; a profundidade exata da grelha confirma-se com a VENTO Portugal a partir do pormenor da caixilharia.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Síntese</w:t>
      </w:r>
    </w:p>
    <w:p>
      <w:pPr>
        <w:spacing w:before="0" w:after="100" w:line="288" w:lineRule="auto"/>
      </w:pPr>
      <w:r>
        <w:rPr>
          <w:sz w:val="20"/>
        </w:rPr>
        <w:t>Grelhas autorreguláveis Invisivent COMFORT High (RENSON, fornecidas pela VENTO Portugal), classe P3, autorregulação a partir de 10 Pa, em toda a largura dos vãos dos compartimentos principais; 44,6 m³/h por metro útil a 10 Pa; D</w:t>
      </w:r>
      <w:r>
        <w:rPr>
          <w:sz w:val="20"/>
          <w:vertAlign w:val="subscript"/>
        </w:rPr>
        <w:t>n,e,w</w:t>
      </w:r>
      <w:r>
        <w:rPr>
          <w:sz w:val="20"/>
        </w:rPr>
        <w:t xml:space="preserve"> 39/51 dB (aberta/fechada); f = 0,86; configuração [standard | com perfil de remate exterior | High-Rise].</w:t>
      </w:r>
    </w:p>
    <w:p>
      <w:pPr>
        <w:keepNext/>
        <w:spacing w:before="280" w:after="100" w:line="252" w:lineRule="auto"/>
        <w:pBdr>
          <w:bottom w:val="single" w:sz="6" w:space="4" w:color="D5DCEA"/>
        </w:pBdr>
      </w:pPr>
      <w:r>
        <w:rPr>
          <w:b/>
          <w:color w:val="143D8D"/>
          <w:sz w:val="27"/>
        </w:rPr>
        <w:t>2. Caderno de encargos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Artigo [n.º] · Grelha autorregulável de admissão de ar integrada na caixilharia</w:t>
      </w:r>
    </w:p>
    <w:p>
      <w:pPr>
        <w:spacing w:before="0" w:after="100" w:line="288" w:lineRule="auto"/>
      </w:pPr>
      <w:r>
        <w:rPr>
          <w:b/>
          <w:sz w:val="20"/>
        </w:rPr>
        <w:t>Descrição.</w:t>
      </w:r>
      <w:r>
        <w:rPr>
          <w:sz w:val="20"/>
        </w:rPr>
        <w:t xml:space="preserve"> Fornecimento e montagem de grelha autorregulável de admissão de ar do tipo </w:t>
      </w:r>
      <w:r>
        <w:rPr>
          <w:b/>
          <w:sz w:val="20"/>
        </w:rPr>
        <w:t>Invisivent COMFORT High</w:t>
      </w:r>
      <w:r>
        <w:rPr>
          <w:sz w:val="20"/>
        </w:rPr>
        <w:t xml:space="preserve"> da RENSON, fornecida pela VENTO Portugal, ou equivalente previamente aprovado pela fiscalização, montada sobre o aro superior da caixilharia em toda a largura do vão, incluindo topos, acessórios de fixação, remates e todos os trabalhos necessários ao seu funcionamento.</w:t>
      </w:r>
    </w:p>
    <w:p>
      <w:pPr>
        <w:keepNext/>
        <w:spacing w:before="0" w:after="100" w:line="288" w:lineRule="auto"/>
      </w:pPr>
      <w:r>
        <w:rPr>
          <w:b/>
          <w:sz w:val="20"/>
        </w:rPr>
        <w:t>Quadro de desempenho exigido.</w:t>
      </w:r>
      <w:r>
        <w:rPr>
          <w:sz w:val="20"/>
        </w:rPr>
        <w:t xml:space="preserve"> A grelha cumpre, no mínimo, os valores seguintes.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5DCEA"/>
          <w:left w:val="nil"/>
          <w:bottom w:val="single" w:sz="4" w:color="D5DCEA"/>
          <w:right w:val="nil"/>
          <w:insideH w:val="single" w:sz="4" w:color="D5DCEA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3180"/>
        <w:gridCol w:w="2795"/>
        <w:gridCol w:w="1638"/>
        <w:gridCol w:w="2024"/>
      </w:tblGrid>
      <w:tr>
        <w:trPr>
          <w:tblHeader w:val="true"/>
          <w:cantSplit/>
        </w:trPr>
        <w:tc>
          <w:tcPr>
            <w:tcW w:type="dxa" w:w="3180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Característica</w:t>
            </w:r>
          </w:p>
        </w:tc>
        <w:tc>
          <w:tcPr>
            <w:tcW w:type="dxa" w:w="2795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Valor exigido</w:t>
            </w:r>
          </w:p>
        </w:tc>
        <w:tc>
          <w:tcPr>
            <w:tcW w:type="dxa" w:w="1638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Norma de ensaio</w:t>
            </w:r>
          </w:p>
        </w:tc>
        <w:tc>
          <w:tcPr>
            <w:tcW w:type="dxa" w:w="2024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Documento comprovativo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Classe de autorregulação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P3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13141-1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Início da autorregulação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≤ 10 Pa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Caudal por metro útil a 2 / 10 / 20 Pa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16,8 / 44,6 / 65,5 m³/h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Área equivalente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2936 mm²/m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</w:t>
            </w:r>
            <w:r>
              <w:rPr>
                <w:color w:val="14202B"/>
                <w:sz w:val="17"/>
                <w:vertAlign w:val="subscript"/>
              </w:rPr>
              <w:t>n,e,w</w:t>
            </w:r>
            <w:r>
              <w:rPr>
                <w:color w:val="14202B"/>
                <w:sz w:val="17"/>
              </w:rPr>
              <w:t xml:space="preserve"> (C;C</w:t>
            </w:r>
            <w:r>
              <w:rPr>
                <w:color w:val="14202B"/>
                <w:sz w:val="17"/>
                <w:vertAlign w:val="subscript"/>
              </w:rPr>
              <w:t>tr</w:t>
            </w:r>
            <w:r>
              <w:rPr>
                <w:color w:val="14202B"/>
                <w:sz w:val="17"/>
              </w:rPr>
              <w:t>), 1 m, posição aberta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39 (0;−2) dB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ISO 717-1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</w:t>
            </w:r>
            <w:r>
              <w:rPr>
                <w:color w:val="14202B"/>
                <w:sz w:val="17"/>
                <w:vertAlign w:val="subscript"/>
              </w:rPr>
              <w:t>n,e,w</w:t>
            </w:r>
            <w:r>
              <w:rPr>
                <w:color w:val="14202B"/>
                <w:sz w:val="17"/>
              </w:rPr>
              <w:t xml:space="preserve"> (C;C</w:t>
            </w:r>
            <w:r>
              <w:rPr>
                <w:color w:val="14202B"/>
                <w:sz w:val="17"/>
                <w:vertAlign w:val="subscript"/>
              </w:rPr>
              <w:t>tr</w:t>
            </w:r>
            <w:r>
              <w:rPr>
                <w:color w:val="14202B"/>
                <w:sz w:val="17"/>
              </w:rPr>
              <w:t>), 1 m, posição fechada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51 (−1;−3) dB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ISO 717-1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Fator de temperatura f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0,86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ISO 13788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Coeficiente U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≤ 1,8 W/(m²·K)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Estanquidade à água, posição fechada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900 Pa (1200 Pa em High-Rise)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Estanquidade à água, posição aberta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150 Pa (250 Pa com perfil de remate ou High-Rise)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Fuga em posição fechada, a 50 Pa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&lt; 15 %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Resistência à intrusão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RC 2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Posições de abertura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5 (16 em High-Rise)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Válvula antirretorno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sim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Rede anti-insetos e corte térmico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sim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Redução da altura do vidro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0 mm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Comando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manual, cordão e vara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</w:tbl>
    <w:p>
      <w:pPr>
        <w:spacing w:before="0" w:after="80" w:line="240" w:lineRule="auto"/>
      </w:pPr>
    </w:p>
    <w:p>
      <w:pPr>
        <w:spacing w:before="0" w:after="100" w:line="288" w:lineRule="auto"/>
      </w:pPr>
      <w:r>
        <w:rPr>
          <w:b/>
          <w:sz w:val="20"/>
        </w:rPr>
        <w:t>Equivalência.</w:t>
      </w:r>
      <w:r>
        <w:rPr>
          <w:sz w:val="20"/>
        </w:rPr>
        <w:t xml:space="preserve"> Admite-se produto equivalente desde que cada valor do quadro seja demonstrado pelo documento comprovativo indicado. Quando há norma de ensaio, o valor é medido segundo essa norma, em relatório de laboratório acreditado. A demonstração é feita antes da aprovação do material pela fiscalização.</w:t>
      </w:r>
    </w:p>
    <w:p>
      <w:pPr>
        <w:spacing w:before="0" w:after="100" w:line="288" w:lineRule="auto"/>
      </w:pPr>
      <w:r>
        <w:rPr>
          <w:b/>
          <w:sz w:val="20"/>
        </w:rPr>
        <w:t>Critério de caudal.</w:t>
      </w:r>
      <w:r>
        <w:rPr>
          <w:sz w:val="20"/>
        </w:rPr>
        <w:t xml:space="preserve"> Os caudais indicados são mínimos. O caudal de cada grelha, à pressão de cálculo de 10 Pa, é o caudal por metro útil multiplicado pelo comprimento útil (largura do vão menos 100 mm) e não é inferior ao caudal de projeto do compartimento indicado no projeto de ventilação.</w:t>
      </w:r>
    </w:p>
    <w:p>
      <w:pPr>
        <w:spacing w:before="0" w:after="100" w:line="288" w:lineRule="auto"/>
      </w:pPr>
      <w:r>
        <w:rPr>
          <w:b/>
          <w:sz w:val="20"/>
        </w:rPr>
        <w:t>Comprimento.</w:t>
      </w:r>
      <w:r>
        <w:rPr>
          <w:sz w:val="20"/>
        </w:rPr>
        <w:t xml:space="preserve"> A grelha ocupa a largura total do vão. Não são admitidas grelhas parciais ou descontínuas, que implicam a perda de garantia. Acima de 6000 mm, executa-se em troços de 6000 mm, no máximo, unidos por ligadores.</w:t>
      </w:r>
    </w:p>
    <w:p>
      <w:pPr>
        <w:spacing w:before="0" w:after="100" w:line="288" w:lineRule="auto"/>
      </w:pPr>
      <w:r>
        <w:rPr>
          <w:b/>
          <w:sz w:val="20"/>
        </w:rPr>
        <w:t>Versão, configuração e profundidade.</w:t>
      </w:r>
      <w:r>
        <w:rPr>
          <w:sz w:val="20"/>
        </w:rPr>
        <w:t xml:space="preserve"> Configuração [standard | com perfil de remate exterior | High-Rise], com altura construtiva de 65 mm na configuração standard e 66,5 mm com perfil de remate exterior ou High-Rise. O perfil de remate exterior aplica-se em vãos sem proteção eficaz contra a chuva (persiana exterior, pala). A configuração High-Rise (perfil de remate exterior, reforço interior, parafusos e clips adicionais) aplica-se em zonas costeiras e a partir do terceiro piso acima do solo, inclusive. Versão para aros com profundidade de 83 a 112 mm; a profundidade exata da grelha confirma-se com a VENTO Portugal a partir do pormenor da caixilharia.</w:t>
      </w:r>
    </w:p>
    <w:p>
      <w:pPr>
        <w:spacing w:before="0" w:after="100" w:line="288" w:lineRule="auto"/>
      </w:pPr>
      <w:r>
        <w:rPr>
          <w:b/>
          <w:sz w:val="20"/>
        </w:rPr>
        <w:t>Acabamentos.</w:t>
      </w:r>
      <w:r>
        <w:rPr>
          <w:sz w:val="20"/>
        </w:rPr>
        <w:t xml:space="preserve"> Perfil lacado na cor RAL da caixilharia (branco de série RAL 9016 mate), anodizado acetinado natural (SAA) e anodizado preto ou bicolor. Com outro anodizado na caixilharia, a alternativa é a lacagem RAL 9005 mate. Topos em RAL 9005 (preto) por defeito; topos lacados na cor da caixilharia mediante pedido, a decidir em fase de projeto.</w:t>
      </w:r>
    </w:p>
    <w:p>
      <w:pPr>
        <w:spacing w:before="0" w:after="100" w:line="288" w:lineRule="auto"/>
      </w:pPr>
      <w:r>
        <w:rPr>
          <w:b/>
          <w:sz w:val="20"/>
        </w:rPr>
        <w:t>Montagem.</w:t>
      </w:r>
      <w:r>
        <w:rPr>
          <w:sz w:val="20"/>
        </w:rPr>
        <w:t xml:space="preserve"> De acordo com as instruções do fabricante: âncoras de parede a não mais de 150 mm das extremidades e a 500 mm entre si, no máximo; não se montam janelas com grelha a temperaturas inferiores a −3 °C. A versão, a configuração e o comprimento de cada grelha definem-se antes da encomenda da caixilharia.</w:t>
      </w:r>
    </w:p>
    <w:p>
      <w:pPr>
        <w:spacing w:before="0" w:after="100" w:line="288" w:lineRule="auto"/>
      </w:pPr>
      <w:r>
        <w:rPr>
          <w:b/>
          <w:sz w:val="20"/>
        </w:rPr>
        <w:t>Exaustão associada.</w:t>
      </w:r>
      <w:r>
        <w:rPr>
          <w:sz w:val="20"/>
        </w:rPr>
        <w:t xml:space="preserve"> A grelha combina-se com extração mecânica permanente, conforme o projeto de ventilação.</w:t>
      </w:r>
    </w:p>
    <w:p>
      <w:pPr>
        <w:spacing w:before="0" w:after="100" w:line="288" w:lineRule="auto"/>
      </w:pPr>
      <w:r>
        <w:rPr>
          <w:b/>
          <w:sz w:val="20"/>
        </w:rPr>
        <w:t>Documentação.</w:t>
      </w:r>
      <w:r>
        <w:rPr>
          <w:sz w:val="20"/>
        </w:rPr>
        <w:t xml:space="preserve"> Ficha técnica do produto, relatórios de ensaio dos valores exigidos e, em obra, registo fotográfico das grelhas instaladas.</w:t>
      </w:r>
    </w:p>
    <w:p>
      <w:pPr>
        <w:keepNext/>
        <w:spacing w:before="280" w:after="100" w:line="252" w:lineRule="auto"/>
        <w:pBdr>
          <w:bottom w:val="single" w:sz="6" w:space="4" w:color="D5DCEA"/>
        </w:pBdr>
      </w:pPr>
      <w:r>
        <w:rPr>
          <w:b/>
          <w:color w:val="143D8D"/>
          <w:sz w:val="27"/>
        </w:rPr>
        <w:t>3. Mapa de quantidades</w:t>
      </w:r>
    </w:p>
    <w:p>
      <w:pPr>
        <w:spacing w:before="0" w:after="100" w:line="288" w:lineRule="auto"/>
      </w:pPr>
      <w:r>
        <w:rPr>
          <w:b/>
          <w:sz w:val="20"/>
        </w:rPr>
        <w:t>Capítulo:</w:t>
      </w:r>
      <w:r>
        <w:rPr>
          <w:sz w:val="20"/>
        </w:rPr>
        <w:t xml:space="preserve"> Arquitetura · Caixilharias. As grelhas integram a caixilharia e medem-se com ela. Por fazerem parte do vão, recomenda-se que não sejam medidas também no capítulo de aquecimento, ventilação e ar condicionado (AVAC), para evitar duplicações no mapa de quantidades e nos orçamentos.</w:t>
      </w:r>
    </w:p>
    <w:p>
      <w:pPr>
        <w:spacing w:before="0" w:after="100" w:line="288" w:lineRule="auto"/>
      </w:pPr>
      <w:r>
        <w:rPr>
          <w:b/>
          <w:sz w:val="20"/>
        </w:rPr>
        <w:t>Unidade:</w:t>
      </w:r>
      <w:r>
        <w:rPr>
          <w:sz w:val="20"/>
        </w:rPr>
        <w:t xml:space="preserve"> un. </w:t>
      </w:r>
      <w:r>
        <w:rPr>
          <w:b/>
          <w:sz w:val="20"/>
        </w:rPr>
        <w:t>Critério de medição:</w:t>
      </w:r>
      <w:r>
        <w:rPr>
          <w:sz w:val="20"/>
        </w:rPr>
        <w:t xml:space="preserve"> O critério segue a medição da caixilharia: uma grelha por vão, identificada por modelo, versão e configuração, com o comprimento igual à largura do vão. O caudal de cálculo de cada grelha usa o comprimento útil, igual ao comprimento menos 100 mm.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5DCEA"/>
          <w:left w:val="nil"/>
          <w:bottom w:val="single" w:sz="4" w:color="D5DCEA"/>
          <w:right w:val="nil"/>
          <w:insideH w:val="single" w:sz="4" w:color="D5DCEA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964"/>
        <w:gridCol w:w="6746"/>
        <w:gridCol w:w="771"/>
        <w:gridCol w:w="1157"/>
      </w:tblGrid>
      <w:tr>
        <w:trPr>
          <w:tblHeader w:val="true"/>
          <w:cantSplit/>
        </w:trPr>
        <w:tc>
          <w:tcPr>
            <w:tcW w:type="dxa" w:w="964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Art.</w:t>
            </w:r>
          </w:p>
        </w:tc>
        <w:tc>
          <w:tcPr>
            <w:tcW w:type="dxa" w:w="6746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Designação</w:t>
            </w:r>
          </w:p>
        </w:tc>
        <w:tc>
          <w:tcPr>
            <w:tcW w:type="dxa" w:w="771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Un.</w:t>
            </w:r>
          </w:p>
        </w:tc>
        <w:tc>
          <w:tcPr>
            <w:tcW w:type="dxa" w:w="1157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Qt.</w:t>
            </w:r>
          </w:p>
        </w:tc>
      </w:tr>
      <w:tr>
        <w:trPr>
          <w:cantSplit/>
        </w:trPr>
        <w:tc>
          <w:tcPr>
            <w:tcW w:type="dxa" w:w="96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Grelha autorregulável Invisivent COMFORT High (RENSON / VENTO Portugal), configuração standard, comprimento [1600] mm (comprimento útil [1500] mm), conforme caderno de encargos</w:t>
            </w:r>
          </w:p>
        </w:tc>
        <w:tc>
          <w:tcPr>
            <w:tcW w:type="dxa" w:w="77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un.</w:t>
            </w:r>
          </w:p>
        </w:tc>
        <w:tc>
          <w:tcPr>
            <w:tcW w:type="dxa" w:w="115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96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Grelha autorregulável Invisivent COMFORT High (RENSON / VENTO Portugal), configuração High-Rise, comprimento [2400] mm (comprimento útil [2300] mm), conforme caderno de encargos</w:t>
            </w:r>
          </w:p>
        </w:tc>
        <w:tc>
          <w:tcPr>
            <w:tcW w:type="dxa" w:w="771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un.</w:t>
            </w:r>
          </w:p>
        </w:tc>
        <w:tc>
          <w:tcPr>
            <w:tcW w:type="dxa" w:w="1157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</w:tbl>
    <w:p>
      <w:pPr>
        <w:spacing w:before="0" w:after="80" w:line="240" w:lineRule="auto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CellMar>
          <w:top w:w="113" w:type="dxa"/>
          <w:bottom w:w="113" w:type="dxa"/>
          <w:left w:w="170" w:type="dxa"/>
          <w:right w:w="170" w:type="dxa"/>
        </w:tblCellMar>
      </w:tblPr>
      <w:tblGrid>
        <w:gridCol w:w="9638"/>
      </w:tblGrid>
      <w:tr>
        <w:tc>
          <w:tcPr>
            <w:tcW w:type="dxa" w:w="9638"/>
            <w:shd w:val="clear" w:color="auto" w:fill="EFF1F7"/>
            <w:tcBorders>
              <w:left w:val="single" w:sz="18" w:color="143D8D"/>
            </w:tcBorders>
          </w:tcPr>
          <w:p>
            <w:pPr>
              <w:spacing w:before="0" w:after="0" w:line="276" w:lineRule="auto"/>
            </w:pPr>
            <w:r>
              <w:rPr>
                <w:color w:val="14202B"/>
                <w:sz w:val="18"/>
              </w:rPr>
              <w:t>As grelhas do mesmo modelo, versão, configuração e comprimento agrupam-se numa só linha.</w:t>
            </w:r>
          </w:p>
        </w:tc>
      </w:tr>
    </w:tbl>
    <w:p>
      <w:pPr>
        <w:spacing w:after="0"/>
      </w:pPr>
    </w:p>
    <w:p>
      <w:pPr>
        <w:spacing w:before="240" w:after="0" w:line="276" w:lineRule="auto"/>
      </w:pPr>
      <w:r>
        <w:rPr>
          <w:color w:val="55606E"/>
          <w:sz w:val="15"/>
        </w:rPr>
        <w:t>Valores da base de dados de produto archivent. Os valores declarados são os do fabricante; a versão, a configuração e o comprimento de cada elemento confirmam-se com a VENTO Portugal a partir dos projetos. O enquadramento no Sistema de Certificação Energética dos Edifícios (Decreto-Lei n.º 101-D/2020 e respetivas portarias e despachos) consta do guia do perito qualificado archivent.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701" w:right="1134" w:bottom="1474" w:left="1134" w:header="567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20" w:line="240" w:lineRule="auto"/>
      <w:pBdr>
        <w:top w:val="single" w:sz="6" w:space="4" w:color="143D8D"/>
      </w:pBdr>
    </w:pPr>
    <w:r>
      <w:rPr>
        <w:b/>
        <w:color w:val="143D8D"/>
        <w:sz w:val="16"/>
      </w:rPr>
      <w:t>archivent.pt</w:t>
    </w:r>
    <w:r>
      <w:rPr>
        <w:color w:val="14202B"/>
        <w:sz w:val="15"/>
      </w:rPr>
      <w:t xml:space="preserve">   ·   info@archihub.pt   ·   220 924 484 </w:t>
    </w:r>
    <w:r>
      <w:rPr>
        <w:color w:val="55606E"/>
        <w:sz w:val="13"/>
      </w:rPr>
      <w:t>(chamada para a rede fixa nacional)</w:t>
    </w:r>
  </w:p>
  <w:p>
    <w:pPr>
      <w:spacing w:before="0" w:after="20" w:line="240" w:lineRule="auto"/>
    </w:pPr>
    <w:r>
      <w:rPr>
        <w:color w:val="55606E"/>
        <w:sz w:val="14"/>
      </w:rPr>
      <w:t>Av. Visconde Barreiros, Ed. Maia Luz, 1.º, Loja 19, 4470-151 Maia   ·   Um conceito da VENTO Portugal, representante em Portugal dos sistemas de ventilação RENSON</w:t>
    </w:r>
  </w:p>
  <w:p>
    <w:pPr>
      <w:spacing w:before="0" w:after="0" w:line="240" w:lineRule="auto"/>
    </w:pPr>
    <w:r>
      <w:rPr>
        <w:color w:val="55606E"/>
        <w:sz w:val="14"/>
      </w:rPr>
      <w:t xml:space="preserve">Texto de especificação · Invisivent COMFORT High · Base de dados archivent v1.1 · 28-10-2026 · calculadora de ventilação v32.6 · página </w:t>
    </w:r>
    <w:r>
      <w:rPr>
        <w:color w:val="55606E"/>
        <w:sz w:val="14"/>
      </w:rPr>
      <w:fldChar w:fldCharType="begin"/>
    </w:r>
    <w:r>
      <w:rPr>
        <w:color w:val="55606E"/>
        <w:sz w:val="14"/>
      </w:rPr>
      <w:instrText xml:space="preserve"> PAGE </w:instrText>
    </w:r>
    <w:r>
      <w:rPr>
        <w:color w:val="55606E"/>
        <w:sz w:val="14"/>
      </w:rPr>
      <w:fldChar w:fldCharType="separate"/>
    </w:r>
    <w:r>
      <w:rPr>
        <w:color w:val="55606E"/>
        <w:sz w:val="14"/>
      </w:rPr>
      <w:t>1</w:t>
    </w:r>
    <w:r>
      <w:rPr>
        <w:color w:val="55606E"/>
        <w:sz w:val="14"/>
      </w:rPr>
      <w:fldChar w:fldCharType="end"/>
    </w:r>
    <w:r>
      <w:rPr>
        <w:color w:val="55606E"/>
        <w:sz w:val="14"/>
      </w:rPr>
      <w:t xml:space="preserve"> de </w:t>
    </w:r>
    <w:r>
      <w:rPr>
        <w:color w:val="55606E"/>
        <w:sz w:val="14"/>
      </w:rPr>
      <w:fldChar w:fldCharType="begin"/>
    </w:r>
    <w:r>
      <w:rPr>
        <w:color w:val="55606E"/>
        <w:sz w:val="14"/>
      </w:rPr>
      <w:instrText xml:space="preserve"> NUMPAGES </w:instrText>
    </w:r>
    <w:r>
      <w:rPr>
        <w:color w:val="55606E"/>
        <w:sz w:val="14"/>
      </w:rPr>
      <w:fldChar w:fldCharType="separate"/>
    </w:r>
    <w:r>
      <w:rPr>
        <w:color w:val="55606E"/>
        <w:sz w:val="14"/>
      </w:rPr>
      <w:t>1</w:t>
    </w:r>
    <w:r>
      <w:rPr>
        <w:color w:val="55606E"/>
        <w:sz w:val="14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  <w:tblLayout w:type="fixed"/>
    </w:tblPr>
    <w:tblGrid>
      <w:gridCol w:w="4819"/>
      <w:gridCol w:w="2409"/>
      <w:gridCol w:w="2409"/>
    </w:tblGrid>
    <w:tr>
      <w:tc>
        <w:tcPr>
          <w:tcW w:type="dxa" w:w="4819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20940" cy="306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-archivent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0940" cy="306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2409"/>
          <w:vAlign w:val="center"/>
        </w:tcPr>
        <w:p>
          <w:pPr>
            <w:spacing w:before="0" w:after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836129" cy="2592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vento-portuga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6129" cy="2592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2409"/>
          <w:vAlign w:val="center"/>
        </w:tcPr>
        <w:p>
          <w:pPr>
            <w:spacing w:before="0" w:after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880225" cy="223200"/>
                <wp:docPr id="3" name="Picture 3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renson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0225" cy="2232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spacing w:before="0" w:after="0" w:line="240" w:lineRule="auto"/>
      <w:pBdr>
        <w:bottom w:val="single" w:sz="6" w:space="4" w:color="D5DCEA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14202B"/>
      <w:sz w:val="20"/>
      <w:lang w:val="pt-P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Texto de especificação Invisivent COMFORT High · archivent</dc:title>
  <dc:subject>Memória descritiva, caderno de encargos e mapa de quantidades</dc:subject>
  <dc:creator>archivent · VENTO Portugal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pt-PT</dc:language>
</cp:coreProperties>
</file>