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</w:pPr>
      <w:r>
        <w:rPr>
          <w:b/>
          <w:color w:val="143D8D"/>
          <w:sz w:val="15"/>
        </w:rPr>
        <w:t>TEXTO DE ESPECIFICAÇÃO · ARCHIVENT</w:t>
      </w:r>
    </w:p>
    <w:p>
      <w:pPr>
        <w:spacing w:before="0" w:after="60" w:line="252" w:lineRule="auto"/>
      </w:pPr>
      <w:r>
        <w:rPr>
          <w:b/>
          <w:color w:val="14202B"/>
          <w:sz w:val="40"/>
        </w:rPr>
        <w:t>Flux+ Wall 650</w:t>
      </w:r>
    </w:p>
    <w:p>
      <w:pPr>
        <w:spacing w:before="0" w:after="200" w:line="264" w:lineRule="auto"/>
        <w:pBdr>
          <w:bottom w:val="single" w:sz="8" w:space="4" w:color="143D8D"/>
        </w:pBdr>
      </w:pPr>
      <w:r>
        <w:rPr>
          <w:color w:val="55606E"/>
          <w:sz w:val="21"/>
        </w:rPr>
        <w:t>Memória descritiva · caderno de encargos · mapa de quantidades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CellMar>
          <w:top w:w="113" w:type="dxa"/>
          <w:bottom w:w="113" w:type="dxa"/>
          <w:left w:w="170" w:type="dxa"/>
          <w:right w:w="170" w:type="dxa"/>
        </w:tblCellMar>
      </w:tblPr>
      <w:tblGrid>
        <w:gridCol w:w="9638"/>
      </w:tblGrid>
      <w:tr>
        <w:tc>
          <w:tcPr>
            <w:tcW w:type="dxa" w:w="9638"/>
            <w:shd w:val="clear" w:color="auto" w:fill="EFF1F7"/>
            <w:tcBorders>
              <w:left w:val="single" w:sz="18" w:color="143D8D"/>
            </w:tcBorders>
          </w:tcPr>
          <w:p>
            <w:pPr>
              <w:spacing w:before="0" w:after="0" w:line="276" w:lineRule="auto"/>
            </w:pPr>
            <w:r>
              <w:rPr>
                <w:color w:val="14202B"/>
                <w:sz w:val="18"/>
              </w:rPr>
              <w:t>Os campos entre parênteses retos [ ] completam-se com os dados do projeto. Quando um parágrafo apresenta opções, mantém-se apenas a que corresponde à solução adotada e eliminam-se as restantes. Os valores são os da base de dados archivent e coincidem com os das fichas técnicas e da calculadora archivent. O documento destina-se a ser copiado para a memória descritiva, o caderno de encargos e o mapa de quantidades do projeto.</w:t>
            </w:r>
          </w:p>
        </w:tc>
      </w:tr>
    </w:tbl>
    <w:p>
      <w:pPr>
        <w:spacing w:after="0"/>
      </w:pPr>
    </w:p>
    <w:p>
      <w:pPr>
        <w:keepNext/>
        <w:spacing w:before="280" w:after="100" w:line="252" w:lineRule="auto"/>
        <w:pBdr>
          <w:bottom w:val="single" w:sz="6" w:space="4" w:color="D5DCEA"/>
        </w:pBdr>
      </w:pPr>
      <w:r>
        <w:rPr>
          <w:b/>
          <w:color w:val="143D8D"/>
          <w:sz w:val="27"/>
        </w:rPr>
        <w:t>1. Texto técnico-justificativo</w:t>
      </w:r>
    </w:p>
    <w:p>
      <w:pPr>
        <w:spacing w:before="0" w:after="100" w:line="288" w:lineRule="auto"/>
      </w:pPr>
      <w:r>
        <w:rPr>
          <w:sz w:val="20"/>
        </w:rPr>
        <w:t>Para integrar na memória descritiva do projeto de ventilação.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Sistema</w:t>
      </w:r>
    </w:p>
    <w:p>
      <w:pPr>
        <w:spacing w:before="0" w:after="100" w:line="288" w:lineRule="auto"/>
      </w:pPr>
      <w:r>
        <w:rPr>
          <w:sz w:val="20"/>
        </w:rPr>
        <w:t xml:space="preserve">A ventilação da habitação é de duplo fluxo, com insuflação e extração mecânicas e recuperação de calor. Uma unidade </w:t>
      </w:r>
      <w:r>
        <w:rPr>
          <w:b/>
          <w:sz w:val="20"/>
        </w:rPr>
        <w:t>Flux+ Wall 650</w:t>
      </w:r>
      <w:r>
        <w:rPr>
          <w:sz w:val="20"/>
        </w:rPr>
        <w:t xml:space="preserve"> da RENSON, fornecida pela VENTO Portugal (unidade vertical com acesso frontal, para armário técnico), insufla ar novo filtrado nos compartimentos principais e extrai o ar da cozinha, das instalações sanitárias e da lavandaria, com caudais equilibrados. Os vãos não levam grelhas de admissão; a transferência de ar entre compartimentos faz-se por folgas sob as portas ou grelhas de passagem.</w:t>
      </w:r>
    </w:p>
    <w:p>
      <w:pPr>
        <w:spacing w:before="0" w:after="100" w:line="288" w:lineRule="auto"/>
      </w:pPr>
      <w:r>
        <w:rPr>
          <w:sz w:val="20"/>
        </w:rPr>
        <w:t>O permutador recupera o calor do ar extraído para o ar insuflado. Rendimento térmico declarado (EN 13141-7): 86 % a 400 m³/h; 85 % a 475 m³/h; 84 % a 500 m³/h; 83 % a 550 m³/h; 82 % a 600 m³/h; 81 % a 650 m³/h. A unidade dispõe de bypass total (100 %), com função de ventilação temporária para arrefecimento.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Caudais e unidade</w:t>
      </w:r>
    </w:p>
    <w:p>
      <w:pPr>
        <w:spacing w:before="0" w:after="100" w:line="288" w:lineRule="auto"/>
      </w:pPr>
      <w:r>
        <w:rPr>
          <w:sz w:val="20"/>
        </w:rPr>
        <w:t>Caudal de projeto da habitação: [ ] m³/h ([ ] renovações por hora), igual ao maior de três valores (soma dos caudais de admissão, soma dos caudais de extração e mínimo por área útil) e nunca inferior a 0,5 renovações por hora. Distribuição por compartimento: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5DCEA"/>
          <w:left w:val="nil"/>
          <w:bottom w:val="single" w:sz="4" w:color="D5DCEA"/>
          <w:right w:val="nil"/>
          <w:insideH w:val="single" w:sz="4" w:color="D5DCEA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4241"/>
        <w:gridCol w:w="2699"/>
        <w:gridCol w:w="2699"/>
      </w:tblGrid>
      <w:tr>
        <w:trPr>
          <w:tblHeader w:val="true"/>
          <w:cantSplit/>
        </w:trPr>
        <w:tc>
          <w:tcPr>
            <w:tcW w:type="dxa" w:w="4241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Compartimento</w:t>
            </w:r>
          </w:p>
        </w:tc>
        <w:tc>
          <w:tcPr>
            <w:tcW w:type="dxa" w:w="2699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Insuflação (m³/h)</w:t>
            </w:r>
          </w:p>
        </w:tc>
        <w:tc>
          <w:tcPr>
            <w:tcW w:type="dxa" w:w="2699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Extração (m³/h)</w:t>
            </w:r>
          </w:p>
        </w:tc>
      </w:tr>
      <w:tr>
        <w:trPr>
          <w:cantSplit/>
        </w:trPr>
        <w:tc>
          <w:tcPr>
            <w:tcW w:type="dxa" w:w="424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[Sala]</w:t>
            </w:r>
          </w:p>
        </w:tc>
        <w:tc>
          <w:tcPr>
            <w:tcW w:type="dxa" w:w="269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2699"/>
          </w:tcPr>
          <w:p>
            <w:pPr>
              <w:spacing w:before="0" w:after="0" w:line="264" w:lineRule="auto"/>
            </w:pPr>
          </w:p>
        </w:tc>
      </w:tr>
      <w:tr>
        <w:trPr>
          <w:cantSplit/>
        </w:trPr>
        <w:tc>
          <w:tcPr>
            <w:tcW w:type="dxa" w:w="4241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[Quarto 1]</w:t>
            </w:r>
          </w:p>
        </w:tc>
        <w:tc>
          <w:tcPr>
            <w:tcW w:type="dxa" w:w="2699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2699"/>
            <w:shd w:val="clear" w:color="auto" w:fill="F6F7FA"/>
          </w:tcPr>
          <w:p>
            <w:pPr>
              <w:spacing w:before="0" w:after="0" w:line="264" w:lineRule="auto"/>
            </w:pPr>
          </w:p>
        </w:tc>
      </w:tr>
      <w:tr>
        <w:trPr>
          <w:cantSplit/>
        </w:trPr>
        <w:tc>
          <w:tcPr>
            <w:tcW w:type="dxa" w:w="424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[Cozinha]</w:t>
            </w:r>
          </w:p>
        </w:tc>
        <w:tc>
          <w:tcPr>
            <w:tcW w:type="dxa" w:w="2699"/>
          </w:tcPr>
          <w:p>
            <w:pPr>
              <w:spacing w:before="0" w:after="0" w:line="264" w:lineRule="auto"/>
            </w:pPr>
          </w:p>
        </w:tc>
        <w:tc>
          <w:tcPr>
            <w:tcW w:type="dxa" w:w="269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4241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[Instalação sanitária]</w:t>
            </w:r>
          </w:p>
        </w:tc>
        <w:tc>
          <w:tcPr>
            <w:tcW w:type="dxa" w:w="2699"/>
            <w:shd w:val="clear" w:color="auto" w:fill="F6F7FA"/>
          </w:tcPr>
          <w:p>
            <w:pPr>
              <w:spacing w:before="0" w:after="0" w:line="264" w:lineRule="auto"/>
            </w:pPr>
          </w:p>
        </w:tc>
        <w:tc>
          <w:tcPr>
            <w:tcW w:type="dxa" w:w="2699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sz w:val="20"/>
        </w:rPr>
        <w:t>Caudal máximo da unidade: 650 m³/h. Ao caudal de projeto, o rendimento de recuperação obtém-se por interpolação dos valores declarados ([ ] %). Potência nominal de 130 W por ventilador; a potência elétrica e a energia anual dos ventiladores consideradas no pré-certificado e no certificado energético são as da unidade ao caudal de funcionamento, com os dois ventiladores.</w:t>
      </w:r>
    </w:p>
    <w:p>
      <w:pPr>
        <w:spacing w:before="0" w:after="100" w:line="288" w:lineRule="auto"/>
      </w:pPr>
      <w:r>
        <w:rPr>
          <w:sz w:val="20"/>
        </w:rPr>
        <w:t>A envolvente tem permeabilidade ao ar reduzida, condição para o desempenho do duplo fluxo. O exaustor da cozinha funciona em recirculação ou dispõe de compensação de caudal.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Síntese</w:t>
      </w:r>
    </w:p>
    <w:p>
      <w:pPr>
        <w:spacing w:before="0" w:after="100" w:line="288" w:lineRule="auto"/>
      </w:pPr>
      <w:r>
        <w:rPr>
          <w:sz w:val="20"/>
        </w:rPr>
        <w:t>Ventilação de duplo fluxo com recuperação de calor por unidade Flux+ Wall 650 (RENSON, fornecida pela VENTO Portugal), caudal máximo 650 m³/h, rendimento térmico até 86 % (EN 13141-7), bypass total (100 %), filtros 2 × ISO Coarse 65 % (G4). Inclui medição e regulação dos caudais.</w:t>
      </w:r>
    </w:p>
    <w:p>
      <w:pPr>
        <w:keepNext/>
        <w:spacing w:before="280" w:after="100" w:line="252" w:lineRule="auto"/>
        <w:pBdr>
          <w:bottom w:val="single" w:sz="6" w:space="4" w:color="D5DCEA"/>
        </w:pBdr>
      </w:pPr>
      <w:r>
        <w:rPr>
          <w:b/>
          <w:color w:val="143D8D"/>
          <w:sz w:val="27"/>
        </w:rPr>
        <w:t>2. Caderno de encargos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Unidade de ventilação mecânica com recuperação de calor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Fornecimento, montagem, ligação e colocação em funcionamento de unidade de ventilação de duplo fluxo com recuperação de calor do tipo </w:t>
      </w:r>
      <w:r>
        <w:rPr>
          <w:b/>
          <w:sz w:val="20"/>
        </w:rPr>
        <w:t>Flux+ Wall 650</w:t>
      </w:r>
      <w:r>
        <w:rPr>
          <w:sz w:val="20"/>
        </w:rPr>
        <w:t xml:space="preserve"> da RENSON, fornecida pela VENTO Portugal, ou equivalente previamente aprovado pela fiscalização, unidade vertical com acesso frontal, para armário técnico, incluindo suportes, ligação às redes de insuflação, extração, admissão e expulsão, ligação da drenagem de condensados, ligação elétrica a partir do quadro e todos os trabalhos necessários ao seu funcionamento.</w:t>
      </w:r>
    </w:p>
    <w:p>
      <w:pPr>
        <w:keepNext/>
        <w:spacing w:before="0" w:after="100" w:line="288" w:lineRule="auto"/>
      </w:pPr>
      <w:r>
        <w:rPr>
          <w:b/>
          <w:sz w:val="20"/>
        </w:rPr>
        <w:t>Quadro de desempenho exigido.</w:t>
      </w:r>
      <w:r>
        <w:rPr>
          <w:sz w:val="20"/>
        </w:rPr>
        <w:t xml:space="preserve"> A unidade cumpre, no mínimo, os valores seguintes.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5DCEA"/>
          <w:left w:val="nil"/>
          <w:bottom w:val="single" w:sz="4" w:color="D5DCEA"/>
          <w:right w:val="nil"/>
          <w:insideH w:val="single" w:sz="4" w:color="D5DCEA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3180"/>
        <w:gridCol w:w="2795"/>
        <w:gridCol w:w="1638"/>
        <w:gridCol w:w="2024"/>
      </w:tblGrid>
      <w:tr>
        <w:trPr>
          <w:tblHeader w:val="true"/>
          <w:cantSplit/>
        </w:trPr>
        <w:tc>
          <w:tcPr>
            <w:tcW w:type="dxa" w:w="3180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Característica</w:t>
            </w:r>
          </w:p>
        </w:tc>
        <w:tc>
          <w:tcPr>
            <w:tcW w:type="dxa" w:w="2795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Valor exigido</w:t>
            </w:r>
          </w:p>
        </w:tc>
        <w:tc>
          <w:tcPr>
            <w:tcW w:type="dxa" w:w="1638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Norma de ensaio</w:t>
            </w:r>
          </w:p>
        </w:tc>
        <w:tc>
          <w:tcPr>
            <w:tcW w:type="dxa" w:w="2024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Documento comprovativo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Caudal máximo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650 m³/h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Rendimento térmico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86 % a 400 m³/h; ≥ 85 % a 475 m³/h; ≥ 84 % a 500 m³/h; ≥ 83 % a 550 m³/h; ≥ 82 % a 600 m³/h; ≥ 81 % a 650 m³/h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13141-7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Potência nominal por ventilador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≤ 130 W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Bypass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total (100 %)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Filtros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2 × ISO Coarse 65 % (G4) de série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Potência sonora L</w:t>
            </w:r>
            <w:r>
              <w:rPr>
                <w:color w:val="14202B"/>
                <w:sz w:val="17"/>
                <w:vertAlign w:val="subscript"/>
              </w:rPr>
              <w:t>w</w:t>
            </w:r>
            <w:r>
              <w:rPr>
                <w:color w:val="14202B"/>
                <w:sz w:val="17"/>
              </w:rPr>
              <w:t>(A) radiada pela caixa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≤ 56,0 dB(A)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Regulamento Delegado (UE) n.º 1254/2014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de produto (regulamento indicado)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Classe energética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A+ ou superior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Regulamento Delegado (UE) n.º 1254/2014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de produto (regulamento indicado)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Ligações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Ø180 int. / Ø200 ext.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Dimensões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870 × 790 × 580 mm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Peso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29 kg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b/>
          <w:sz w:val="20"/>
        </w:rPr>
        <w:t>Equivalência.</w:t>
      </w:r>
      <w:r>
        <w:rPr>
          <w:sz w:val="20"/>
        </w:rPr>
        <w:t xml:space="preserve"> Admite-se produto equivalente desde que cada valor do quadro seja demonstrado pelo documento comprovativo indicado. Quando há norma de ensaio, o valor é medido segundo essa norma, em relatório de laboratório acreditado. A demonstração é feita antes da aprovação do material pela fiscalização.</w:t>
      </w:r>
    </w:p>
    <w:p>
      <w:pPr>
        <w:spacing w:before="0" w:after="100" w:line="288" w:lineRule="auto"/>
      </w:pPr>
      <w:r>
        <w:rPr>
          <w:b/>
          <w:sz w:val="20"/>
        </w:rPr>
        <w:t>Critério de caudal.</w:t>
      </w:r>
      <w:r>
        <w:rPr>
          <w:sz w:val="20"/>
        </w:rPr>
        <w:t xml:space="preserve"> A unidade assegura, ao caudal de projeto e com a perda de carga das redes de condutas, os caudais de insuflação e de extração de cada compartimento indicados no projeto de ventilação, com caudais totais equilibrados.</w:t>
      </w:r>
    </w:p>
    <w:p>
      <w:pPr>
        <w:spacing w:before="0" w:after="100" w:line="288" w:lineRule="auto"/>
      </w:pPr>
      <w:r>
        <w:rPr>
          <w:b/>
          <w:sz w:val="20"/>
        </w:rPr>
        <w:t>Acesso e manutenção.</w:t>
      </w:r>
      <w:r>
        <w:rPr>
          <w:sz w:val="20"/>
        </w:rPr>
        <w:t xml:space="preserve"> A unidade fica acessível para a substituição dos filtros e a limpeza do permutador.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Medição e regulação dos caudais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Medição e regulação dos caudais de insuflação e de extração após a instalação, com relatório dos caudais medidos em cada boca, para integrar a documentação do certificado energético.</w:t>
      </w:r>
    </w:p>
    <w:p>
      <w:pPr>
        <w:keepNext/>
        <w:spacing w:before="280" w:after="100" w:line="252" w:lineRule="auto"/>
        <w:pBdr>
          <w:bottom w:val="single" w:sz="6" w:space="4" w:color="D5DCEA"/>
        </w:pBdr>
      </w:pPr>
      <w:r>
        <w:rPr>
          <w:b/>
          <w:color w:val="143D8D"/>
          <w:sz w:val="27"/>
        </w:rPr>
        <w:t>3. Mapa de quantidades</w:t>
      </w:r>
    </w:p>
    <w:p>
      <w:pPr>
        <w:spacing w:before="0" w:after="100" w:line="288" w:lineRule="auto"/>
      </w:pPr>
      <w:r>
        <w:rPr>
          <w:b/>
          <w:sz w:val="20"/>
        </w:rPr>
        <w:t>Capítulo:</w:t>
      </w:r>
      <w:r>
        <w:rPr>
          <w:sz w:val="20"/>
        </w:rPr>
        <w:t xml:space="preserve"> Instalações mecânicas · Ventilação.</w:t>
      </w:r>
    </w:p>
    <w:p>
      <w:pPr>
        <w:spacing w:before="0" w:after="100" w:line="288" w:lineRule="auto"/>
      </w:pPr>
      <w:r>
        <w:rPr>
          <w:b/>
          <w:sz w:val="20"/>
        </w:rPr>
        <w:t>Unidades e critérios de medição:</w:t>
      </w:r>
      <w:r>
        <w:rPr>
          <w:sz w:val="20"/>
        </w:rPr>
        <w:t xml:space="preserve"> unidade de ventilação e bocas por unidade (un.), identificadas por modelo; condutas por comprimento (m), por diâmetro; medição e regulação dos caudais por valor global (vg).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5DCEA"/>
          <w:left w:val="nil"/>
          <w:bottom w:val="single" w:sz="4" w:color="D5DCEA"/>
          <w:right w:val="nil"/>
          <w:insideH w:val="single" w:sz="4" w:color="D5DCEA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964"/>
        <w:gridCol w:w="6746"/>
        <w:gridCol w:w="771"/>
        <w:gridCol w:w="1157"/>
      </w:tblGrid>
      <w:tr>
        <w:trPr>
          <w:tblHeader w:val="true"/>
          <w:cantSplit/>
        </w:trPr>
        <w:tc>
          <w:tcPr>
            <w:tcW w:type="dxa" w:w="964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Art.</w:t>
            </w:r>
          </w:p>
        </w:tc>
        <w:tc>
          <w:tcPr>
            <w:tcW w:type="dxa" w:w="6746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Designação</w:t>
            </w:r>
          </w:p>
        </w:tc>
        <w:tc>
          <w:tcPr>
            <w:tcW w:type="dxa" w:w="771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Un.</w:t>
            </w:r>
          </w:p>
        </w:tc>
        <w:tc>
          <w:tcPr>
            <w:tcW w:type="dxa" w:w="1157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Qt.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Unidade de ventilação com recuperação de calor Flux+ Wall 650 (RENSON / VENTO Portugal), conforme caderno de encargos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un.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1</w:t>
            </w:r>
          </w:p>
        </w:tc>
      </w:tr>
      <w:tr>
        <w:trPr>
          <w:cantSplit/>
        </w:trPr>
        <w:tc>
          <w:tcPr>
            <w:tcW w:type="dxa" w:w="96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Boca de insuflação, incluindo ligação e acabamento</w:t>
            </w:r>
          </w:p>
        </w:tc>
        <w:tc>
          <w:tcPr>
            <w:tcW w:type="dxa" w:w="771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un.</w:t>
            </w:r>
          </w:p>
        </w:tc>
        <w:tc>
          <w:tcPr>
            <w:tcW w:type="dxa" w:w="1157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Boca de extração, incluindo ligação e acabamento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un.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Conduta Ø180 mm, incluindo acessórios e isolamento onde necessário</w:t>
            </w:r>
          </w:p>
        </w:tc>
        <w:tc>
          <w:tcPr>
            <w:tcW w:type="dxa" w:w="771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</w:t>
            </w:r>
          </w:p>
        </w:tc>
        <w:tc>
          <w:tcPr>
            <w:tcW w:type="dxa" w:w="1157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Medição e regulação dos caudais, com relatório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vg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1</w:t>
            </w:r>
          </w:p>
        </w:tc>
      </w:tr>
    </w:tbl>
    <w:p>
      <w:pPr>
        <w:spacing w:before="0" w:after="80" w:line="240" w:lineRule="auto"/>
      </w:pPr>
    </w:p>
    <w:p>
      <w:pPr>
        <w:spacing w:before="240" w:after="0" w:line="276" w:lineRule="auto"/>
      </w:pPr>
      <w:r>
        <w:rPr>
          <w:color w:val="55606E"/>
          <w:sz w:val="15"/>
        </w:rPr>
        <w:t>Valores da base de dados de produto archivent. Os valores declarados são os do fabricante; a versão, a configuração e o comprimento de cada elemento confirmam-se com a VENTO Portugal a partir dos projetos. O enquadramento no Sistema de Certificação Energética dos Edifícios (Decreto-Lei n.º 101-D/2020 e respetivas portarias e despachos) consta do guia do perito qualificado archivent.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701" w:right="1134" w:bottom="1474" w:left="1134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20" w:line="240" w:lineRule="auto"/>
      <w:pBdr>
        <w:top w:val="single" w:sz="6" w:space="4" w:color="143D8D"/>
      </w:pBdr>
    </w:pPr>
    <w:r>
      <w:rPr>
        <w:b/>
        <w:color w:val="143D8D"/>
        <w:sz w:val="16"/>
      </w:rPr>
      <w:t>archivent.pt</w:t>
    </w:r>
    <w:r>
      <w:rPr>
        <w:color w:val="14202B"/>
        <w:sz w:val="15"/>
      </w:rPr>
      <w:t xml:space="preserve">   ·   info@archihub.pt   ·   220 924 484 </w:t>
    </w:r>
    <w:r>
      <w:rPr>
        <w:color w:val="55606E"/>
        <w:sz w:val="13"/>
      </w:rPr>
      <w:t>(chamada para a rede fixa nacional)</w:t>
    </w:r>
  </w:p>
  <w:p>
    <w:pPr>
      <w:spacing w:before="0" w:after="20" w:line="240" w:lineRule="auto"/>
    </w:pPr>
    <w:r>
      <w:rPr>
        <w:color w:val="55606E"/>
        <w:sz w:val="14"/>
      </w:rPr>
      <w:t>Av. Visconde Barreiros, Ed. Maia Luz, 1.º, Loja 19, 4470-151 Maia   ·   Um conceito da VENTO Portugal, representante em Portugal dos sistemas de ventilação RENSON</w:t>
    </w:r>
  </w:p>
  <w:p>
    <w:pPr>
      <w:spacing w:before="0" w:after="0" w:line="240" w:lineRule="auto"/>
    </w:pPr>
    <w:r>
      <w:rPr>
        <w:color w:val="55606E"/>
        <w:sz w:val="14"/>
      </w:rPr>
      <w:t xml:space="preserve">Texto de especificação · Flux+ Wall 650 · Base de dados archivent v1.1 · 28-10-2026 · calculadora de ventilação v32.6 · página </w:t>
    </w:r>
    <w:r>
      <w:rPr>
        <w:color w:val="55606E"/>
        <w:sz w:val="14"/>
      </w:rPr>
      <w:fldChar w:fldCharType="begin"/>
    </w:r>
    <w:r>
      <w:rPr>
        <w:color w:val="55606E"/>
        <w:sz w:val="14"/>
      </w:rPr>
      <w:instrText xml:space="preserve"> PAGE </w:instrText>
    </w:r>
    <w:r>
      <w:rPr>
        <w:color w:val="55606E"/>
        <w:sz w:val="14"/>
      </w:rPr>
      <w:fldChar w:fldCharType="separate"/>
    </w:r>
    <w:r>
      <w:rPr>
        <w:color w:val="55606E"/>
        <w:sz w:val="14"/>
      </w:rPr>
      <w:t>1</w:t>
    </w:r>
    <w:r>
      <w:rPr>
        <w:color w:val="55606E"/>
        <w:sz w:val="14"/>
      </w:rPr>
      <w:fldChar w:fldCharType="end"/>
    </w:r>
    <w:r>
      <w:rPr>
        <w:color w:val="55606E"/>
        <w:sz w:val="14"/>
      </w:rPr>
      <w:t xml:space="preserve"> de </w:t>
    </w:r>
    <w:r>
      <w:rPr>
        <w:color w:val="55606E"/>
        <w:sz w:val="14"/>
      </w:rPr>
      <w:fldChar w:fldCharType="begin"/>
    </w:r>
    <w:r>
      <w:rPr>
        <w:color w:val="55606E"/>
        <w:sz w:val="14"/>
      </w:rPr>
      <w:instrText xml:space="preserve"> NUMPAGES </w:instrText>
    </w:r>
    <w:r>
      <w:rPr>
        <w:color w:val="55606E"/>
        <w:sz w:val="14"/>
      </w:rPr>
      <w:fldChar w:fldCharType="separate"/>
    </w:r>
    <w:r>
      <w:rPr>
        <w:color w:val="55606E"/>
        <w:sz w:val="14"/>
      </w:rPr>
      <w:t>1</w:t>
    </w:r>
    <w:r>
      <w:rPr>
        <w:color w:val="55606E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  <w:tblLayout w:type="fixed"/>
    </w:tblPr>
    <w:tblGrid>
      <w:gridCol w:w="4819"/>
      <w:gridCol w:w="2409"/>
      <w:gridCol w:w="2409"/>
    </w:tblGrid>
    <w:tr>
      <w:tc>
        <w:tcPr>
          <w:tcW w:type="dxa" w:w="4819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20940" cy="306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archivent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0940" cy="306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2409"/>
          <w:vAlign w:val="center"/>
        </w:tcPr>
        <w:p>
          <w:pPr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836129" cy="2592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vento-portuga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6129" cy="2592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2409"/>
          <w:vAlign w:val="center"/>
        </w:tcPr>
        <w:p>
          <w:pPr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880225" cy="223200"/>
                <wp:docPr id="3" name="Picture 3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renson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0225" cy="2232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spacing w:before="0" w:after="0" w:line="240" w:lineRule="auto"/>
      <w:pBdr>
        <w:bottom w:val="single" w:sz="6" w:space="4" w:color="D5DCEA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14202B"/>
      <w:sz w:val="20"/>
      <w:lang w:val="pt-P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Texto de especificação Flux+ Wall 650 · archivent</dc:title>
  <dc:subject>Memória descritiva, caderno de encargos e mapa de quantidades</dc:subject>
  <dc:creator>archivent · VENTO Portugal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pt-PT</dc:language>
</cp:coreProperties>
</file>