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40" w:lineRule="auto"/>
      </w:pPr>
      <w:r>
        <w:rPr>
          <w:b/>
          <w:color w:val="B5523B"/>
          <w:sz w:val="15"/>
        </w:rPr>
        <w:t>TEXTO DE ESPECIFICAÇÃO · ARCHISKIN</w:t>
      </w:r>
    </w:p>
    <w:p>
      <w:pPr>
        <w:spacing w:before="0" w:after="60" w:line="252" w:lineRule="auto"/>
      </w:pPr>
      <w:r>
        <w:rPr>
          <w:b/>
          <w:color w:val="14202B"/>
          <w:sz w:val="40"/>
        </w:rPr>
        <w:t>Texto de especificação · i-Mesh · segunda pele de fachada</w:t>
      </w:r>
    </w:p>
    <w:p>
      <w:pPr>
        <w:spacing w:before="0" w:after="200" w:line="264" w:lineRule="auto"/>
        <w:pBdr>
          <w:bottom w:val="single" w:sz="8" w:space="4" w:color="B5523B"/>
        </w:pBdr>
      </w:pPr>
      <w:r>
        <w:rPr>
          <w:color w:val="55606E"/>
          <w:sz w:val="21"/>
        </w:rPr>
        <w:t>Memória descritiva · caderno de encargos · mapa de quantidades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CellMar>
          <w:top w:w="113" w:type="dxa"/>
          <w:bottom w:w="113" w:type="dxa"/>
          <w:left w:w="170" w:type="dxa"/>
          <w:right w:w="170" w:type="dxa"/>
        </w:tblCellMar>
      </w:tblPr>
      <w:tblGrid>
        <w:gridCol w:w="9638"/>
      </w:tblGrid>
      <w:tr>
        <w:tc>
          <w:tcPr>
            <w:tcW w:type="dxa" w:w="9638"/>
            <w:shd w:val="clear" w:color="auto" w:fill="FAF3F1"/>
            <w:tcBorders>
              <w:left w:val="single" w:sz="18" w:color="B5523B"/>
            </w:tcBorders>
          </w:tcPr>
          <w:p>
            <w:pPr>
              <w:spacing w:before="0" w:after="0" w:line="276" w:lineRule="auto"/>
            </w:pPr>
            <w:r>
              <w:rPr>
                <w:color w:val="14202B"/>
                <w:sz w:val="18"/>
              </w:rPr>
              <w:t>Os campos entre parênteses retos [ ] completam-se com os dados do projeto. Quando um parágrafo apresenta opções, mantém-se apenas a que corresponde à solução adotada e eliminam-se as restantes. Os valores são os da base de dados archiskin e coincidem com os das fichas técnicas e das páginas dos padrões. O documento destina-se a ser copiado para a memória descritiva, o caderno de encargos e o mapa de quantidades do projeto.</w:t>
            </w:r>
          </w:p>
        </w:tc>
      </w:tr>
    </w:tbl>
    <w:p>
      <w:pPr>
        <w:spacing w:after="0"/>
      </w:pPr>
    </w:p>
    <w:p>
      <w:pPr>
        <w:keepNext/>
        <w:spacing w:before="280" w:after="100" w:line="252" w:lineRule="auto"/>
        <w:pBdr>
          <w:bottom w:val="single" w:sz="6" w:space="4" w:color="F2E0DC"/>
        </w:pBdr>
      </w:pPr>
      <w:r>
        <w:rPr>
          <w:b/>
          <w:color w:val="B5523B"/>
          <w:sz w:val="27"/>
        </w:rPr>
        <w:t>1. Memória descritiva</w:t>
      </w:r>
    </w:p>
    <w:p>
      <w:pPr>
        <w:spacing w:before="0" w:after="100" w:line="288" w:lineRule="auto"/>
      </w:pPr>
      <w:r>
        <w:rPr>
          <w:sz w:val="20"/>
        </w:rPr>
        <w:t>Texto justificativo para integrar na memória descritiva do projeto de arquitetura.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Segunda pele têxtil</w:t>
      </w:r>
    </w:p>
    <w:p>
      <w:pPr>
        <w:spacing w:before="0" w:after="100" w:line="288" w:lineRule="auto"/>
      </w:pPr>
      <w:r>
        <w:rPr>
          <w:sz w:val="20"/>
        </w:rPr>
        <w:t>Nos alçados [identificação dos alçados], prevê-se uma segunda pele em malha técnica multiaxial, constituída por fibras minerais ou técnicas colocadas por robô numa grelha multiaxial, sem tecelagem, e impregnadas com acabamento de fachada, com 2,5 mm de espessura, do tipo i-Mesh, afastada da fachada [ ] mm e tensionada numa subestrutura de suporte própria, numa área total de [ ] m², conforme as peças desenhadas. A malha sombreia o envidraçado antes de a radiação solar chegar ao vidro e deixa passar parte da luz e da vista; a caixa de ar entre as duas peles fica aberta em baixo e em cima e renova-se por convecção.</w:t>
      </w:r>
    </w:p>
    <w:p>
      <w:pPr>
        <w:spacing w:before="0" w:after="100" w:line="288" w:lineRule="auto"/>
      </w:pPr>
      <w:r>
        <w:rPr>
          <w:sz w:val="20"/>
        </w:rPr>
        <w:t>No clima de Portugal, as fachadas a nascente e a poente recebem sol baixo e pedem padrões mais fechados; a sul, a malha pode ser mais aberta. A escolha do padrão e da escala resulta da orientação, da sombra e da privacidade pretendidas, e é validada com amostras observadas com a luz do local.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Padrão, fibra e escala</w:t>
      </w:r>
    </w:p>
    <w:p>
      <w:pPr>
        <w:spacing w:before="0" w:after="100" w:line="288" w:lineRule="auto"/>
      </w:pPr>
      <w:r>
        <w:rPr>
          <w:sz w:val="20"/>
        </w:rPr>
        <w:t>O padrão adotado é [padrão], em [fibra ou mescla], à escala de [ ] % (gama de 70 % a 200 %). Os padrões de catálogo indicados para fachada são os do quadro seguinte, com a área aberta à escala de 100 %; com a escala reduzida a malha fica mais densa, ampliada fica mais aberta, e o valor à escala adotada é confirmado pelo fabricante.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color="F2E0DC"/>
          <w:left w:val="nil"/>
          <w:bottom w:val="single" w:sz="4" w:color="F2E0DC"/>
          <w:right w:val="nil"/>
          <w:insideH w:val="single" w:sz="4" w:color="F2E0DC"/>
          <w:insideV w:val="nil"/>
        </w:tblBorders>
        <w:tblCellMar>
          <w:top w:w="51" w:type="dxa"/>
          <w:bottom w:w="51" w:type="dxa"/>
          <w:left w:w="90" w:type="dxa"/>
          <w:right w:w="90" w:type="dxa"/>
        </w:tblCellMar>
      </w:tblPr>
      <w:tblGrid>
        <w:gridCol w:w="1060"/>
        <w:gridCol w:w="1446"/>
        <w:gridCol w:w="1349"/>
        <w:gridCol w:w="1060"/>
        <w:gridCol w:w="1157"/>
        <w:gridCol w:w="1253"/>
        <w:gridCol w:w="2313"/>
      </w:tblGrid>
      <w:tr>
        <w:trPr>
          <w:tblHeader w:val="true"/>
          <w:cantSplit/>
        </w:trPr>
        <w:tc>
          <w:tcPr>
            <w:tcW w:type="dxa" w:w="1060"/>
            <w:shd w:val="clear" w:color="auto" w:fill="B5523B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Padrão</w:t>
            </w:r>
          </w:p>
        </w:tc>
        <w:tc>
          <w:tcPr>
            <w:tcW w:type="dxa" w:w="1446"/>
            <w:shd w:val="clear" w:color="auto" w:fill="B5523B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Código</w:t>
            </w:r>
          </w:p>
        </w:tc>
        <w:tc>
          <w:tcPr>
            <w:tcW w:type="dxa" w:w="1349"/>
            <w:shd w:val="clear" w:color="auto" w:fill="B5523B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Fibras</w:t>
            </w:r>
          </w:p>
        </w:tc>
        <w:tc>
          <w:tcPr>
            <w:tcW w:type="dxa" w:w="1060"/>
            <w:shd w:val="clear" w:color="auto" w:fill="B5523B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Área aberta (escala 100 %)</w:t>
            </w:r>
          </w:p>
        </w:tc>
        <w:tc>
          <w:tcPr>
            <w:tcW w:type="dxa" w:w="1157"/>
            <w:shd w:val="clear" w:color="auto" w:fill="B5523B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Peso</w:t>
            </w:r>
          </w:p>
        </w:tc>
        <w:tc>
          <w:tcPr>
            <w:tcW w:type="dxa" w:w="1253"/>
            <w:shd w:val="clear" w:color="auto" w:fill="B5523B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Reação ao fogo (EN 13501-1)</w:t>
            </w:r>
          </w:p>
        </w:tc>
        <w:tc>
          <w:tcPr>
            <w:tcW w:type="dxa" w:w="2313"/>
            <w:shd w:val="clear" w:color="auto" w:fill="B5523B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Notas</w:t>
            </w:r>
          </w:p>
        </w:tc>
      </w:tr>
      <w:tr>
        <w:trPr>
          <w:cantSplit/>
        </w:trPr>
        <w:tc>
          <w:tcPr>
            <w:tcW w:type="dxa" w:w="106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Morellet</w:t>
            </w:r>
          </w:p>
        </w:tc>
        <w:tc>
          <w:tcPr>
            <w:tcW w:type="dxa" w:w="144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MORELLET F 100</w:t>
            </w:r>
          </w:p>
        </w:tc>
        <w:tc>
          <w:tcPr>
            <w:tcW w:type="dxa" w:w="1349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Vidro</w:t>
            </w:r>
          </w:p>
        </w:tc>
        <w:tc>
          <w:tcPr>
            <w:tcW w:type="dxa" w:w="106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46,5 %</w:t>
            </w:r>
          </w:p>
        </w:tc>
        <w:tc>
          <w:tcPr>
            <w:tcW w:type="dxa" w:w="115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1133 g/m² (± 5 %)</w:t>
            </w:r>
          </w:p>
        </w:tc>
        <w:tc>
          <w:tcPr>
            <w:tcW w:type="dxa" w:w="1253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B-s1,d0</w:t>
            </w:r>
          </w:p>
        </w:tc>
        <w:tc>
          <w:tcPr>
            <w:tcW w:type="dxa" w:w="2313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Tensão ortogonal; também cortina plana.</w:t>
            </w:r>
          </w:p>
        </w:tc>
      </w:tr>
      <w:tr>
        <w:trPr>
          <w:cantSplit/>
        </w:trPr>
        <w:tc>
          <w:tcPr>
            <w:tcW w:type="dxa" w:w="1060"/>
            <w:shd w:val="clear" w:color="auto" w:fill="FCF8F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Sunshield</w:t>
            </w:r>
          </w:p>
        </w:tc>
        <w:tc>
          <w:tcPr>
            <w:tcW w:type="dxa" w:w="1446"/>
            <w:shd w:val="clear" w:color="auto" w:fill="FCF8F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SUNSHIELD FT 100</w:t>
            </w:r>
          </w:p>
        </w:tc>
        <w:tc>
          <w:tcPr>
            <w:tcW w:type="dxa" w:w="1349"/>
            <w:shd w:val="clear" w:color="auto" w:fill="FCF8F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Vidro e Technora</w:t>
            </w:r>
          </w:p>
        </w:tc>
        <w:tc>
          <w:tcPr>
            <w:tcW w:type="dxa" w:w="1060"/>
            <w:shd w:val="clear" w:color="auto" w:fill="FCF8F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43 %</w:t>
            </w:r>
          </w:p>
        </w:tc>
        <w:tc>
          <w:tcPr>
            <w:tcW w:type="dxa" w:w="1157"/>
            <w:shd w:val="clear" w:color="auto" w:fill="FCF8F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965 g/m² (± 5 %)</w:t>
            </w:r>
          </w:p>
        </w:tc>
        <w:tc>
          <w:tcPr>
            <w:tcW w:type="dxa" w:w="1253"/>
            <w:shd w:val="clear" w:color="auto" w:fill="FCF8F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B-s1,d0</w:t>
            </w:r>
          </w:p>
        </w:tc>
        <w:tc>
          <w:tcPr>
            <w:tcW w:type="dxa" w:w="2313"/>
            <w:shd w:val="clear" w:color="auto" w:fill="FCF8F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Desenvolvido para sombreamento.</w:t>
            </w:r>
          </w:p>
        </w:tc>
      </w:tr>
      <w:tr>
        <w:trPr>
          <w:cantSplit/>
        </w:trPr>
        <w:tc>
          <w:tcPr>
            <w:tcW w:type="dxa" w:w="106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Random</w:t>
            </w:r>
          </w:p>
        </w:tc>
        <w:tc>
          <w:tcPr>
            <w:tcW w:type="dxa" w:w="144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RANDOM B 100</w:t>
            </w:r>
          </w:p>
        </w:tc>
        <w:tc>
          <w:tcPr>
            <w:tcW w:type="dxa" w:w="1349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Basalto</w:t>
            </w:r>
          </w:p>
        </w:tc>
        <w:tc>
          <w:tcPr>
            <w:tcW w:type="dxa" w:w="106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40 %</w:t>
            </w:r>
          </w:p>
        </w:tc>
        <w:tc>
          <w:tcPr>
            <w:tcW w:type="dxa" w:w="115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884 g/m² (± 5 %)</w:t>
            </w:r>
          </w:p>
        </w:tc>
        <w:tc>
          <w:tcPr>
            <w:tcW w:type="dxa" w:w="1253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B-s1,d0</w:t>
            </w:r>
          </w:p>
        </w:tc>
        <w:tc>
          <w:tcPr>
            <w:tcW w:type="dxa" w:w="2313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Quadrícula escondida: tensiona-se nas duas direções.</w:t>
            </w:r>
          </w:p>
        </w:tc>
      </w:tr>
      <w:tr>
        <w:trPr>
          <w:cantSplit/>
        </w:trPr>
        <w:tc>
          <w:tcPr>
            <w:tcW w:type="dxa" w:w="1060"/>
            <w:shd w:val="clear" w:color="auto" w:fill="FCF8F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Ninnaji</w:t>
            </w:r>
          </w:p>
        </w:tc>
        <w:tc>
          <w:tcPr>
            <w:tcW w:type="dxa" w:w="1446"/>
            <w:shd w:val="clear" w:color="auto" w:fill="FCF8F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NINNAJI C 100</w:t>
            </w:r>
          </w:p>
        </w:tc>
        <w:tc>
          <w:tcPr>
            <w:tcW w:type="dxa" w:w="1349"/>
            <w:shd w:val="clear" w:color="auto" w:fill="FCF8F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Carbono</w:t>
            </w:r>
          </w:p>
        </w:tc>
        <w:tc>
          <w:tcPr>
            <w:tcW w:type="dxa" w:w="1060"/>
            <w:shd w:val="clear" w:color="auto" w:fill="FCF8F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49 %</w:t>
            </w:r>
          </w:p>
        </w:tc>
        <w:tc>
          <w:tcPr>
            <w:tcW w:type="dxa" w:w="1157"/>
            <w:shd w:val="clear" w:color="auto" w:fill="FCF8F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820 g/m² (± 5 %)</w:t>
            </w:r>
          </w:p>
        </w:tc>
        <w:tc>
          <w:tcPr>
            <w:tcW w:type="dxa" w:w="1253"/>
            <w:shd w:val="clear" w:color="auto" w:fill="FCF8F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B-s1,d0</w:t>
            </w:r>
          </w:p>
        </w:tc>
        <w:tc>
          <w:tcPr>
            <w:tcW w:type="dxa" w:w="2313"/>
            <w:shd w:val="clear" w:color="auto" w:fill="FCF8F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Tensiona-se segundo as diagonais.</w:t>
            </w:r>
          </w:p>
        </w:tc>
      </w:tr>
      <w:tr>
        <w:trPr>
          <w:cantSplit/>
        </w:trPr>
        <w:tc>
          <w:tcPr>
            <w:tcW w:type="dxa" w:w="106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Tartan</w:t>
            </w:r>
          </w:p>
        </w:tc>
        <w:tc>
          <w:tcPr>
            <w:tcW w:type="dxa" w:w="144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TARTAN FVC 100</w:t>
            </w:r>
          </w:p>
        </w:tc>
        <w:tc>
          <w:tcPr>
            <w:tcW w:type="dxa" w:w="1349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Vidro, Volcano e carbono</w:t>
            </w:r>
          </w:p>
        </w:tc>
        <w:tc>
          <w:tcPr>
            <w:tcW w:type="dxa" w:w="106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21 %</w:t>
            </w:r>
          </w:p>
        </w:tc>
        <w:tc>
          <w:tcPr>
            <w:tcW w:type="dxa" w:w="115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1412 g/m² (± 5 %)</w:t>
            </w:r>
          </w:p>
        </w:tc>
        <w:tc>
          <w:tcPr>
            <w:tcW w:type="dxa" w:w="1253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B-s1,d0</w:t>
            </w:r>
          </w:p>
        </w:tc>
        <w:tc>
          <w:tcPr>
            <w:tcW w:type="dxa" w:w="2313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Faixas densas: mais privacidade.</w:t>
            </w:r>
          </w:p>
        </w:tc>
      </w:tr>
      <w:tr>
        <w:trPr>
          <w:cantSplit/>
        </w:trPr>
        <w:tc>
          <w:tcPr>
            <w:tcW w:type="dxa" w:w="1060"/>
            <w:shd w:val="clear" w:color="auto" w:fill="FCF8F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Vivienne</w:t>
            </w:r>
          </w:p>
        </w:tc>
        <w:tc>
          <w:tcPr>
            <w:tcW w:type="dxa" w:w="1446"/>
            <w:shd w:val="clear" w:color="auto" w:fill="FCF8F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VIVIENNE V 100</w:t>
            </w:r>
          </w:p>
        </w:tc>
        <w:tc>
          <w:tcPr>
            <w:tcW w:type="dxa" w:w="1349"/>
            <w:shd w:val="clear" w:color="auto" w:fill="FCF8F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Volcano</w:t>
            </w:r>
          </w:p>
        </w:tc>
        <w:tc>
          <w:tcPr>
            <w:tcW w:type="dxa" w:w="1060"/>
            <w:shd w:val="clear" w:color="auto" w:fill="FCF8F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43 %</w:t>
            </w:r>
          </w:p>
        </w:tc>
        <w:tc>
          <w:tcPr>
            <w:tcW w:type="dxa" w:w="1157"/>
            <w:shd w:val="clear" w:color="auto" w:fill="FCF8F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769 g/m² (± 5 %)</w:t>
            </w:r>
          </w:p>
        </w:tc>
        <w:tc>
          <w:tcPr>
            <w:tcW w:type="dxa" w:w="1253"/>
            <w:shd w:val="clear" w:color="auto" w:fill="FCF8F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B-s1,d0</w:t>
            </w:r>
          </w:p>
        </w:tc>
        <w:tc>
          <w:tcPr>
            <w:tcW w:type="dxa" w:w="2313"/>
            <w:shd w:val="clear" w:color="auto" w:fill="FCF8F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Indicado pela marca para fachada tensionada.</w:t>
            </w:r>
          </w:p>
        </w:tc>
      </w:tr>
      <w:tr>
        <w:trPr>
          <w:cantSplit/>
        </w:trPr>
        <w:tc>
          <w:tcPr>
            <w:tcW w:type="dxa" w:w="106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Wien Straw</w:t>
            </w:r>
          </w:p>
        </w:tc>
        <w:tc>
          <w:tcPr>
            <w:tcW w:type="dxa" w:w="144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WIEN STRAW V 100</w:t>
            </w:r>
          </w:p>
        </w:tc>
        <w:tc>
          <w:tcPr>
            <w:tcW w:type="dxa" w:w="1349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Volcano</w:t>
            </w:r>
          </w:p>
        </w:tc>
        <w:tc>
          <w:tcPr>
            <w:tcW w:type="dxa" w:w="106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48 %</w:t>
            </w:r>
          </w:p>
        </w:tc>
        <w:tc>
          <w:tcPr>
            <w:tcW w:type="dxa" w:w="115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1142 g/m² (± 5 %)</w:t>
            </w:r>
          </w:p>
        </w:tc>
        <w:tc>
          <w:tcPr>
            <w:tcW w:type="dxa" w:w="1253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B-s1,d0</w:t>
            </w:r>
          </w:p>
        </w:tc>
        <w:tc>
          <w:tcPr>
            <w:tcW w:type="dxa" w:w="2313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Fachada do Pavilhão da Indonésia, Expo 2025.</w:t>
            </w:r>
          </w:p>
        </w:tc>
      </w:tr>
    </w:tbl>
    <w:p>
      <w:pPr>
        <w:spacing w:before="0" w:after="80" w:line="240" w:lineRule="auto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CellMar>
          <w:top w:w="113" w:type="dxa"/>
          <w:bottom w:w="113" w:type="dxa"/>
          <w:left w:w="170" w:type="dxa"/>
          <w:right w:w="170" w:type="dxa"/>
        </w:tblCellMar>
      </w:tblPr>
      <w:tblGrid>
        <w:gridCol w:w="9638"/>
      </w:tblGrid>
      <w:tr>
        <w:tc>
          <w:tcPr>
            <w:tcW w:type="dxa" w:w="9638"/>
            <w:shd w:val="clear" w:color="auto" w:fill="FAF3F1"/>
            <w:tcBorders>
              <w:left w:val="single" w:sz="18" w:color="B5523B"/>
            </w:tcBorders>
          </w:tcPr>
          <w:p>
            <w:pPr>
              <w:spacing w:before="0" w:after="0" w:line="276" w:lineRule="auto"/>
            </w:pPr>
            <w:r>
              <w:rPr>
                <w:color w:val="14202B"/>
                <w:sz w:val="18"/>
              </w:rPr>
              <w:t>Valores das fichas técnicas i-Mesh. A área aberta («permeabilidade») é a indicada pelo fabricante para a escala de 100 %.</w:t>
            </w:r>
          </w:p>
        </w:tc>
      </w:tr>
    </w:tbl>
    <w:p>
      <w:pPr>
        <w:spacing w:after="0"/>
      </w:pP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Comportamento térmico</w:t>
      </w:r>
    </w:p>
    <w:p>
      <w:pPr>
        <w:spacing w:before="0" w:after="100" w:line="288" w:lineRule="auto"/>
      </w:pPr>
      <w:r>
        <w:rPr>
          <w:sz w:val="20"/>
        </w:rPr>
        <w:t>Para a fibra de vidro, o fabricante publica refletância solar de 0,71 (0,85 na opção para climas quentes), emissividade de 0,9, condutividade térmica de 0,18 W/(m·K) a 20 °C e capacidade térmica de 1200 J/(kg·K). Os valores de transmissão solar e luminosa e o fator solar do conjunto com o envidraçado ficam por demonstrar para o padrão, a fibra e a escala adotados: [ ].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Vento, subestrutura e tensionamento</w:t>
      </w:r>
    </w:p>
    <w:p>
      <w:pPr>
        <w:spacing w:before="0" w:after="100" w:line="288" w:lineRule="auto"/>
      </w:pPr>
      <w:r>
        <w:rPr>
          <w:sz w:val="20"/>
        </w:rPr>
        <w:t>A ação do vento determina-se segundo a NP EN 1991-1-4 e o respetivo Anexo Nacional: zona [A, com v</w:t>
      </w:r>
      <w:r>
        <w:rPr>
          <w:sz w:val="20"/>
          <w:vertAlign w:val="subscript"/>
        </w:rPr>
        <w:t>b,0</w:t>
      </w:r>
      <w:r>
        <w:rPr>
          <w:sz w:val="20"/>
        </w:rPr>
        <w:t xml:space="preserve"> = 27 m/s | B, com v</w:t>
      </w:r>
      <w:r>
        <w:rPr>
          <w:sz w:val="20"/>
          <w:vertAlign w:val="subscript"/>
        </w:rPr>
        <w:t>b,0</w:t>
      </w:r>
      <w:r>
        <w:rPr>
          <w:sz w:val="20"/>
        </w:rPr>
        <w:t xml:space="preserve"> = 30 m/s], categoria de terreno [ ], altura da fachada [ ] m e orografia [ ]. A zona B inclui as regiões autónomas da Madeira e dos Açores, a faixa costeira do continente com 5 km de largura e os locais acima de 600 m de altitude. Na Madeira e nos Açores, a orografia e a categoria de terreno têm análise própria, e junto aos bordos e às esquinas do edifício consideram-se as pressões locais mais altas.</w:t>
      </w:r>
    </w:p>
    <w:p>
      <w:pPr>
        <w:spacing w:before="0" w:after="100" w:line="288" w:lineRule="auto"/>
      </w:pPr>
      <w:r>
        <w:rPr>
          <w:sz w:val="20"/>
        </w:rPr>
        <w:t>A malha fica presa e tensionada no perímetro, em [perfis de bordo | caixilho tensor | cabos de bordo], com fixação [nos bordos superior e inferior e ancoragens intermédias à estrutura do edifício | em painéis modulares]. A direção de tensionamento segue o padrão adotado e é confirmada pelo fabricante. Os vãos, a flecha máxima, o pré-esforço e as reações nas fixações são definidos pelo projeto de estabilidade, com a engenharia dos painéis do fabricante. As cargas da segunda pele passam para as lajes ou para elementos estruturais, nunca para o vidro.</w:t>
      </w:r>
    </w:p>
    <w:p>
      <w:pPr>
        <w:spacing w:before="0" w:after="100" w:line="288" w:lineRule="auto"/>
      </w:pPr>
      <w:r>
        <w:rPr>
          <w:sz w:val="20"/>
        </w:rPr>
        <w:t>As fixações metálicas são escolhidas para a categoria de corrosividade do local, [ ] (EN ISO 9223); no litoral, na Madeira e nos Açores, considera-se o ambiente marítimo.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Reação ao fogo</w:t>
      </w:r>
    </w:p>
    <w:p>
      <w:pPr>
        <w:spacing w:before="0" w:after="100" w:line="288" w:lineRule="auto"/>
      </w:pPr>
      <w:r>
        <w:rPr>
          <w:sz w:val="20"/>
        </w:rPr>
        <w:t>O enquadramento da segunda pele no Regulamento Técnico de Segurança contra Incêndio em Edifícios (Portaria n.º 1532/2008, alterada pela Portaria n.º 135/2020) e a classe exigida são definidos no projeto de segurança contra incêndio: [revestimento exterior | elemento de proteção solar exterior | sistema de revestimento exterior não tradicional], classe mínima [ ]. Os padrões de catálogo deste documento têm classe B-s1,d0 (EN 13501-1) declarada na ficha técnica. A classe declarada nas fichas técnicas é confirmada pelo relatório de classificação EN 13501-1, que identifica o produto (código, fibra, massa e acabamento), a montagem ensaiada e o campo de aplicação; a classe vale para a montagem ensaiada e para esse campo de aplicação. Na Madeira e nos Açores, o enquadramento confirma-se com o serviço regional de proteção civil.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Síntese</w:t>
      </w:r>
    </w:p>
    <w:p>
      <w:pPr>
        <w:spacing w:before="0" w:after="100" w:line="288" w:lineRule="auto"/>
      </w:pPr>
      <w:r>
        <w:rPr>
          <w:sz w:val="20"/>
        </w:rPr>
        <w:t>Segunda pele de fachada em malha técnica i-Mesh, padrão [ ], em [fibra], escala [ ] %, 2,5 mm, área aberta de 21 % a 49 % conforme o padrão, reação ao fogo B-s1,d0 no campo de aplicação do relatório, tensionada em subestrutura própria afastada [ ] mm da fachada, em [ ] m² de alçado.</w:t>
      </w:r>
    </w:p>
    <w:p>
      <w:pPr>
        <w:keepNext/>
        <w:spacing w:before="280" w:after="100" w:line="252" w:lineRule="auto"/>
        <w:pBdr>
          <w:bottom w:val="single" w:sz="6" w:space="4" w:color="F2E0DC"/>
        </w:pBdr>
      </w:pPr>
      <w:r>
        <w:rPr>
          <w:b/>
          <w:color w:val="B5523B"/>
          <w:sz w:val="27"/>
        </w:rPr>
        <w:t>2. Caderno de encargos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Artigo [n.º] · Segunda pele de fachada em malha técnica</w:t>
      </w:r>
    </w:p>
    <w:p>
      <w:pPr>
        <w:spacing w:before="0" w:after="100" w:line="288" w:lineRule="auto"/>
      </w:pPr>
      <w:r>
        <w:rPr>
          <w:b/>
          <w:sz w:val="20"/>
        </w:rPr>
        <w:t>Descrição.</w:t>
      </w:r>
      <w:r>
        <w:rPr>
          <w:sz w:val="20"/>
        </w:rPr>
        <w:t xml:space="preserve"> Fornecimento e montagem de segunda pele de fachada em malha técnica multiaxial, constituída por fibras minerais ou técnicas colocadas por robô numa grelha multiaxial, sem tecelagem, e impregnadas com acabamento de fachada, com 2,5 mm de espessura, do tipo </w:t>
      </w:r>
      <w:r>
        <w:rPr>
          <w:b/>
          <w:sz w:val="20"/>
        </w:rPr>
        <w:t>i-Mesh</w:t>
      </w:r>
      <w:r>
        <w:rPr>
          <w:sz w:val="20"/>
        </w:rPr>
        <w:t>, ou equivalente previamente aprovado pela fiscalização, produzida por medida, em painéis com a forma e o padrão finais, sem retalhos, tensionada em [perfis de bordo | caixilho tensor | cabos de bordo], incluindo acessórios de tensionamento, trabalhos de preparação e limpeza final. A subestrutura de suporte é objeto do artigo [n.º].</w:t>
      </w:r>
    </w:p>
    <w:p>
      <w:pPr>
        <w:keepNext/>
        <w:spacing w:before="80" w:after="40" w:line="264" w:lineRule="auto"/>
      </w:pPr>
      <w:r>
        <w:rPr>
          <w:b/>
          <w:i w:val="0"/>
          <w:color w:val="B5523B"/>
          <w:sz w:val="18"/>
        </w:rPr>
        <w:t>[Opção A · Morellet]</w:t>
      </w:r>
    </w:p>
    <w:p>
      <w:pPr>
        <w:spacing w:before="0" w:after="100" w:line="288" w:lineRule="auto"/>
      </w:pPr>
      <w:r>
        <w:rPr>
          <w:sz w:val="20"/>
        </w:rPr>
        <w:t xml:space="preserve">Padrão </w:t>
      </w:r>
      <w:r>
        <w:rPr>
          <w:b/>
          <w:sz w:val="20"/>
        </w:rPr>
        <w:t>Morellet</w:t>
      </w:r>
      <w:r>
        <w:rPr>
          <w:sz w:val="20"/>
        </w:rPr>
        <w:t xml:space="preserve"> (código MORELLET F 100), em vidro, com área aberta de 46,5 % à escala de 100 % e peso de 1133 g/m² (± 5 %), reação ao fogo B-s1,d0.</w:t>
      </w:r>
    </w:p>
    <w:p>
      <w:pPr>
        <w:keepNext/>
        <w:spacing w:before="80" w:after="40" w:line="264" w:lineRule="auto"/>
      </w:pPr>
      <w:r>
        <w:rPr>
          <w:b/>
          <w:i w:val="0"/>
          <w:color w:val="B5523B"/>
          <w:sz w:val="18"/>
        </w:rPr>
        <w:t>[Opção B · Sunshield]</w:t>
      </w:r>
    </w:p>
    <w:p>
      <w:pPr>
        <w:spacing w:before="0" w:after="100" w:line="288" w:lineRule="auto"/>
      </w:pPr>
      <w:r>
        <w:rPr>
          <w:sz w:val="20"/>
        </w:rPr>
        <w:t xml:space="preserve">Padrão </w:t>
      </w:r>
      <w:r>
        <w:rPr>
          <w:b/>
          <w:sz w:val="20"/>
        </w:rPr>
        <w:t>Sunshield</w:t>
      </w:r>
      <w:r>
        <w:rPr>
          <w:sz w:val="20"/>
        </w:rPr>
        <w:t xml:space="preserve"> (código SUNSHIELD FT 100), em vidro e technora, com área aberta de 43 % à escala de 100 % e peso de 965 g/m² (± 5 %), reação ao fogo B-s1,d0.</w:t>
      </w:r>
    </w:p>
    <w:p>
      <w:pPr>
        <w:keepNext/>
        <w:spacing w:before="80" w:after="40" w:line="264" w:lineRule="auto"/>
      </w:pPr>
      <w:r>
        <w:rPr>
          <w:b/>
          <w:i w:val="0"/>
          <w:color w:val="B5523B"/>
          <w:sz w:val="18"/>
        </w:rPr>
        <w:t>[Opção C · Random]</w:t>
      </w:r>
    </w:p>
    <w:p>
      <w:pPr>
        <w:spacing w:before="0" w:after="100" w:line="288" w:lineRule="auto"/>
      </w:pPr>
      <w:r>
        <w:rPr>
          <w:sz w:val="20"/>
        </w:rPr>
        <w:t xml:space="preserve">Padrão </w:t>
      </w:r>
      <w:r>
        <w:rPr>
          <w:b/>
          <w:sz w:val="20"/>
        </w:rPr>
        <w:t>Random</w:t>
      </w:r>
      <w:r>
        <w:rPr>
          <w:sz w:val="20"/>
        </w:rPr>
        <w:t xml:space="preserve"> (código RANDOM B 100), em basalto, com área aberta de 40 % à escala de 100 % e peso de 884 g/m² (± 5 %), reação ao fogo B-s1,d0.</w:t>
      </w:r>
    </w:p>
    <w:p>
      <w:pPr>
        <w:keepNext/>
        <w:spacing w:before="80" w:after="40" w:line="264" w:lineRule="auto"/>
      </w:pPr>
      <w:r>
        <w:rPr>
          <w:b/>
          <w:i w:val="0"/>
          <w:color w:val="B5523B"/>
          <w:sz w:val="18"/>
        </w:rPr>
        <w:t>[Opção D · Ninnaji]</w:t>
      </w:r>
    </w:p>
    <w:p>
      <w:pPr>
        <w:spacing w:before="0" w:after="100" w:line="288" w:lineRule="auto"/>
      </w:pPr>
      <w:r>
        <w:rPr>
          <w:sz w:val="20"/>
        </w:rPr>
        <w:t xml:space="preserve">Padrão </w:t>
      </w:r>
      <w:r>
        <w:rPr>
          <w:b/>
          <w:sz w:val="20"/>
        </w:rPr>
        <w:t>Ninnaji</w:t>
      </w:r>
      <w:r>
        <w:rPr>
          <w:sz w:val="20"/>
        </w:rPr>
        <w:t xml:space="preserve"> (código NINNAJI C 100), em carbono, com área aberta de 49 % à escala de 100 % e peso de 820 g/m² (± 5 %), reação ao fogo B-s1,d0.</w:t>
      </w:r>
    </w:p>
    <w:p>
      <w:pPr>
        <w:keepNext/>
        <w:spacing w:before="80" w:after="40" w:line="264" w:lineRule="auto"/>
      </w:pPr>
      <w:r>
        <w:rPr>
          <w:b/>
          <w:i w:val="0"/>
          <w:color w:val="B5523B"/>
          <w:sz w:val="18"/>
        </w:rPr>
        <w:t>[Opção E · Tartan]</w:t>
      </w:r>
    </w:p>
    <w:p>
      <w:pPr>
        <w:spacing w:before="0" w:after="100" w:line="288" w:lineRule="auto"/>
      </w:pPr>
      <w:r>
        <w:rPr>
          <w:sz w:val="20"/>
        </w:rPr>
        <w:t xml:space="preserve">Padrão </w:t>
      </w:r>
      <w:r>
        <w:rPr>
          <w:b/>
          <w:sz w:val="20"/>
        </w:rPr>
        <w:t>Tartan</w:t>
      </w:r>
      <w:r>
        <w:rPr>
          <w:sz w:val="20"/>
        </w:rPr>
        <w:t xml:space="preserve"> (código TARTAN FVC 100), em vidro, volcano e carbono, com área aberta de 21 % à escala de 100 % e peso de 1412 g/m² (± 5 %), reação ao fogo B-s1,d0.</w:t>
      </w:r>
    </w:p>
    <w:p>
      <w:pPr>
        <w:keepNext/>
        <w:spacing w:before="80" w:after="40" w:line="264" w:lineRule="auto"/>
      </w:pPr>
      <w:r>
        <w:rPr>
          <w:b/>
          <w:i w:val="0"/>
          <w:color w:val="B5523B"/>
          <w:sz w:val="18"/>
        </w:rPr>
        <w:t>[Opção F · Vivienne]</w:t>
      </w:r>
    </w:p>
    <w:p>
      <w:pPr>
        <w:spacing w:before="0" w:after="100" w:line="288" w:lineRule="auto"/>
      </w:pPr>
      <w:r>
        <w:rPr>
          <w:sz w:val="20"/>
        </w:rPr>
        <w:t xml:space="preserve">Padrão </w:t>
      </w:r>
      <w:r>
        <w:rPr>
          <w:b/>
          <w:sz w:val="20"/>
        </w:rPr>
        <w:t>Vivienne</w:t>
      </w:r>
      <w:r>
        <w:rPr>
          <w:sz w:val="20"/>
        </w:rPr>
        <w:t xml:space="preserve"> (código VIVIENNE V 100), em volcano, com área aberta de 43 % à escala de 100 % e peso de 769 g/m² (± 5 %), reação ao fogo B-s1,d0.</w:t>
      </w:r>
    </w:p>
    <w:p>
      <w:pPr>
        <w:keepNext/>
        <w:spacing w:before="80" w:after="40" w:line="264" w:lineRule="auto"/>
      </w:pPr>
      <w:r>
        <w:rPr>
          <w:b/>
          <w:i w:val="0"/>
          <w:color w:val="B5523B"/>
          <w:sz w:val="18"/>
        </w:rPr>
        <w:t>[Opção G · Wien Straw]</w:t>
      </w:r>
    </w:p>
    <w:p>
      <w:pPr>
        <w:spacing w:before="0" w:after="100" w:line="288" w:lineRule="auto"/>
      </w:pPr>
      <w:r>
        <w:rPr>
          <w:sz w:val="20"/>
        </w:rPr>
        <w:t xml:space="preserve">Padrão </w:t>
      </w:r>
      <w:r>
        <w:rPr>
          <w:b/>
          <w:sz w:val="20"/>
        </w:rPr>
        <w:t>Wien Straw</w:t>
      </w:r>
      <w:r>
        <w:rPr>
          <w:sz w:val="20"/>
        </w:rPr>
        <w:t xml:space="preserve"> (código WIEN STRAW V 100), em volcano, com área aberta de 48 % à escala de 100 % e peso de 1142 g/m² (± 5 %), reação ao fogo B-s1,d0.</w:t>
      </w:r>
    </w:p>
    <w:p>
      <w:pPr>
        <w:keepNext/>
        <w:spacing w:before="80" w:after="40" w:line="264" w:lineRule="auto"/>
      </w:pPr>
      <w:r>
        <w:rPr>
          <w:b/>
          <w:i w:val="0"/>
          <w:color w:val="B5523B"/>
          <w:sz w:val="18"/>
        </w:rPr>
        <w:t>[Opção H · padrão desenhado para a obra]</w:t>
      </w:r>
    </w:p>
    <w:p>
      <w:pPr>
        <w:spacing w:before="0" w:after="100" w:line="288" w:lineRule="auto"/>
      </w:pPr>
      <w:r>
        <w:rPr>
          <w:sz w:val="20"/>
        </w:rPr>
        <w:t>Padrão exclusivo, desenhado com o projeto, em [fibra ou mescla], com área aberta de [ ] % e peso de [ ] g/m², confirmados pelo fabricante antes da aprovação do material. A classe de reação ao fogo do padrão exclusivo é demonstrada por relatório de classificação próprio.</w:t>
      </w:r>
    </w:p>
    <w:p>
      <w:pPr>
        <w:spacing w:before="0" w:after="100" w:line="288" w:lineRule="auto"/>
      </w:pPr>
      <w:r>
        <w:rPr>
          <w:sz w:val="20"/>
        </w:rPr>
        <w:t>Fibra ou mescla: [ ]. Escala do padrão: [ ] % (gama de 70 % a 200 %). Modulação e medidas de cada painel conforme as peças desenhadas e o plano de modulação aprovado.</w:t>
      </w:r>
    </w:p>
    <w:p>
      <w:pPr>
        <w:keepNext/>
        <w:spacing w:before="0" w:after="100" w:line="288" w:lineRule="auto"/>
      </w:pPr>
      <w:r>
        <w:rPr>
          <w:b/>
          <w:sz w:val="20"/>
        </w:rPr>
        <w:t>Quadro de desempenho exigido.</w:t>
      </w:r>
      <w:r>
        <w:rPr>
          <w:sz w:val="20"/>
        </w:rPr>
        <w:t xml:space="preserve"> A malha cumpre, no mínimo, os valores seguintes.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color="F2E0DC"/>
          <w:left w:val="nil"/>
          <w:bottom w:val="single" w:sz="4" w:color="F2E0DC"/>
          <w:right w:val="nil"/>
          <w:insideH w:val="single" w:sz="4" w:color="F2E0DC"/>
          <w:insideV w:val="nil"/>
        </w:tblBorders>
        <w:tblCellMar>
          <w:top w:w="51" w:type="dxa"/>
          <w:bottom w:w="51" w:type="dxa"/>
          <w:left w:w="90" w:type="dxa"/>
          <w:right w:w="90" w:type="dxa"/>
        </w:tblCellMar>
      </w:tblPr>
      <w:tblGrid>
        <w:gridCol w:w="3180"/>
        <w:gridCol w:w="2795"/>
        <w:gridCol w:w="1638"/>
        <w:gridCol w:w="2024"/>
      </w:tblGrid>
      <w:tr>
        <w:trPr>
          <w:tblHeader w:val="true"/>
          <w:cantSplit/>
        </w:trPr>
        <w:tc>
          <w:tcPr>
            <w:tcW w:type="dxa" w:w="3180"/>
            <w:shd w:val="clear" w:color="auto" w:fill="B5523B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Característica</w:t>
            </w:r>
          </w:p>
        </w:tc>
        <w:tc>
          <w:tcPr>
            <w:tcW w:type="dxa" w:w="2795"/>
            <w:shd w:val="clear" w:color="auto" w:fill="B5523B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Valor exigido</w:t>
            </w:r>
          </w:p>
        </w:tc>
        <w:tc>
          <w:tcPr>
            <w:tcW w:type="dxa" w:w="1638"/>
            <w:shd w:val="clear" w:color="auto" w:fill="B5523B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Norma de ensaio</w:t>
            </w:r>
          </w:p>
        </w:tc>
        <w:tc>
          <w:tcPr>
            <w:tcW w:type="dxa" w:w="2024"/>
            <w:shd w:val="clear" w:color="auto" w:fill="B5523B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Documento comprovativo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Constituição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grelha multiaxial de fibras, sem tecelagem, com acabamento de fachada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CF8F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Fibras</w:t>
            </w:r>
          </w:p>
        </w:tc>
        <w:tc>
          <w:tcPr>
            <w:tcW w:type="dxa" w:w="2795"/>
            <w:shd w:val="clear" w:color="auto" w:fill="FCF8F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[fibra ou mescla do padrão adotado]</w:t>
            </w:r>
          </w:p>
        </w:tc>
        <w:tc>
          <w:tcPr>
            <w:tcW w:type="dxa" w:w="1638"/>
            <w:shd w:val="clear" w:color="auto" w:fill="FCF8F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CF8F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Espessura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2,5 mm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CF8F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Área aberta à escala de 100 %</w:t>
            </w:r>
          </w:p>
        </w:tc>
        <w:tc>
          <w:tcPr>
            <w:tcW w:type="dxa" w:w="2795"/>
            <w:shd w:val="clear" w:color="auto" w:fill="FCF8F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 %, a do padrão adotado no quadro de padrões</w:t>
            </w:r>
          </w:p>
        </w:tc>
        <w:tc>
          <w:tcPr>
            <w:tcW w:type="dxa" w:w="1638"/>
            <w:shd w:val="clear" w:color="auto" w:fill="FCF8F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CF8F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Peso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 g/m² (± 5 %), o do padrão adotado no quadro de padrões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CF8F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Utilização</w:t>
            </w:r>
          </w:p>
        </w:tc>
        <w:tc>
          <w:tcPr>
            <w:tcW w:type="dxa" w:w="2795"/>
            <w:shd w:val="clear" w:color="auto" w:fill="FCF8F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interior e exterior</w:t>
            </w:r>
          </w:p>
        </w:tc>
        <w:tc>
          <w:tcPr>
            <w:tcW w:type="dxa" w:w="1638"/>
            <w:shd w:val="clear" w:color="auto" w:fill="FCF8F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CF8F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Reação ao fogo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B-s1,d0, no campo de aplicação do relatório, para a montagem prevista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EN 13501-1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Relatório de classificação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CF8F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Refletância solar (fibra de vidro)</w:t>
            </w:r>
          </w:p>
        </w:tc>
        <w:tc>
          <w:tcPr>
            <w:tcW w:type="dxa" w:w="2795"/>
            <w:shd w:val="clear" w:color="auto" w:fill="FCF8F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0,71 (0,85 na opção para climas quentes)</w:t>
            </w:r>
          </w:p>
        </w:tc>
        <w:tc>
          <w:tcPr>
            <w:tcW w:type="dxa" w:w="1638"/>
            <w:shd w:val="clear" w:color="auto" w:fill="FCF8F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CF8F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Emissividade (fibra de vidro)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0,9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CF8F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Resistência à tração, teia e trama</w:t>
            </w:r>
          </w:p>
        </w:tc>
        <w:tc>
          <w:tcPr>
            <w:tcW w:type="dxa" w:w="2795"/>
            <w:shd w:val="clear" w:color="auto" w:fill="FCF8F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[ ] kN/m, no padrão e na fibra adotados</w:t>
            </w:r>
          </w:p>
        </w:tc>
        <w:tc>
          <w:tcPr>
            <w:tcW w:type="dxa" w:w="1638"/>
            <w:shd w:val="clear" w:color="auto" w:fill="FCF8F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EN ISO 1421</w:t>
            </w:r>
          </w:p>
        </w:tc>
        <w:tc>
          <w:tcPr>
            <w:tcW w:type="dxa" w:w="2024"/>
            <w:shd w:val="clear" w:color="auto" w:fill="FCF8F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Relatório de ensaio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Transmissão solar e luminosa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CF8F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Garantia do fabricante</w:t>
            </w:r>
          </w:p>
        </w:tc>
        <w:tc>
          <w:tcPr>
            <w:tcW w:type="dxa" w:w="2795"/>
            <w:shd w:val="clear" w:color="auto" w:fill="FCF8F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10 anos</w:t>
            </w:r>
          </w:p>
        </w:tc>
        <w:tc>
          <w:tcPr>
            <w:tcW w:type="dxa" w:w="1638"/>
            <w:shd w:val="clear" w:color="auto" w:fill="FCF8F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CF8F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Declaração de garantia do fabricante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Sistema de gestão da qualidade do fabricante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certificado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ISO 9001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Certificado</w:t>
            </w:r>
          </w:p>
        </w:tc>
      </w:tr>
    </w:tbl>
    <w:p>
      <w:pPr>
        <w:spacing w:before="0" w:after="80" w:line="240" w:lineRule="auto"/>
      </w:pPr>
    </w:p>
    <w:p>
      <w:pPr>
        <w:spacing w:before="0" w:after="100" w:line="288" w:lineRule="auto"/>
      </w:pPr>
      <w:r>
        <w:rPr>
          <w:b/>
          <w:sz w:val="20"/>
        </w:rPr>
        <w:t>Equivalência.</w:t>
      </w:r>
      <w:r>
        <w:rPr>
          <w:sz w:val="20"/>
        </w:rPr>
        <w:t xml:space="preserve"> Admite-se produto equivalente desde que cada valor do quadro seja demonstrado pelo documento comprovativo indicado. Quando há norma de ensaio, o valor é medido segundo essa norma, em relatório de laboratório acreditado. A demonstração é feita antes da aprovação do material pela fiscalização.</w:t>
      </w:r>
    </w:p>
    <w:p>
      <w:pPr>
        <w:spacing w:before="0" w:after="100" w:line="288" w:lineRule="auto"/>
      </w:pPr>
      <w:r>
        <w:rPr>
          <w:b/>
          <w:sz w:val="20"/>
        </w:rPr>
        <w:t>Projeto de execução.</w:t>
      </w:r>
      <w:r>
        <w:rPr>
          <w:sz w:val="20"/>
        </w:rPr>
        <w:t xml:space="preserve"> Antes da produção, o empreiteiro apresenta à fiscalização o plano de modulação dos painéis sobre os alçados, a direção de tensionamento de cada painel, os pormenores de perímetro e de ancoragem, a flecha máxima admitida sob a ação do vento de projeto e as reações nas fixações, com o cálculo do projeto de estabilidade. A flecha máxima garante que a malha não toca no vidro, nos caixilhos que abrem nem nos equipamentos de limpeza. O pormenor permite retensionar a malha sem a desmontar.</w:t>
      </w:r>
    </w:p>
    <w:p>
      <w:pPr>
        <w:spacing w:before="0" w:after="100" w:line="288" w:lineRule="auto"/>
      </w:pPr>
      <w:r>
        <w:rPr>
          <w:b/>
          <w:sz w:val="20"/>
        </w:rPr>
        <w:t>Amostras e protótipo.</w:t>
      </w:r>
      <w:r>
        <w:rPr>
          <w:sz w:val="20"/>
        </w:rPr>
        <w:t xml:space="preserve"> Amostras do padrão, da fibra e da escala adotados, aprovadas pelo projetista com a luz do local. [Opção · protótipo de [ ] m² montado em obra, com o pormenor de perímetro previsto, aprovado antes da produção.]</w:t>
      </w:r>
    </w:p>
    <w:p>
      <w:pPr>
        <w:spacing w:before="0" w:after="100" w:line="288" w:lineRule="auto"/>
      </w:pPr>
      <w:r>
        <w:rPr>
          <w:b/>
          <w:sz w:val="20"/>
        </w:rPr>
        <w:t>Execução.</w:t>
      </w:r>
      <w:r>
        <w:rPr>
          <w:sz w:val="20"/>
        </w:rPr>
        <w:t xml:space="preserve"> A montagem segue as instruções do fabricante. A malha é manuseada sem vincos e sem contacto com arestas vivas, e é tensionada na direção indicada para o padrão, até ao pré-esforço definido no projeto de execução. Os painéis ficam alinhados, sem pregas nem zonas soltas, e as fixações ficam apertadas e protegidas contra a corrosão.</w:t>
      </w:r>
    </w:p>
    <w:p>
      <w:pPr>
        <w:spacing w:before="0" w:after="100" w:line="288" w:lineRule="auto"/>
      </w:pPr>
      <w:r>
        <w:rPr>
          <w:b/>
          <w:sz w:val="20"/>
        </w:rPr>
        <w:t>Ensaios e verificações.</w:t>
      </w:r>
      <w:r>
        <w:rPr>
          <w:sz w:val="20"/>
        </w:rPr>
        <w:t xml:space="preserve"> Verificação do código do produto, do padrão, da fibra e da escala de todos os painéis, das dimensões, do alinhamento e do tensionamento, e do afastamento livre entre a malha e a fachada. [Opção · ensaio biaxial de tração (EN ISO 1421) no padrão adotado, quando o projeto de estabilidade o exige.]</w:t>
      </w:r>
    </w:p>
    <w:p>
      <w:pPr>
        <w:spacing w:before="0" w:after="100" w:line="288" w:lineRule="auto"/>
      </w:pPr>
      <w:r>
        <w:rPr>
          <w:b/>
          <w:sz w:val="20"/>
        </w:rPr>
        <w:t>Receção.</w:t>
      </w:r>
      <w:r>
        <w:rPr>
          <w:sz w:val="20"/>
        </w:rPr>
        <w:t xml:space="preserve"> Receção provisória após a verificação anterior, com a entrega da documentação. Os painéis com danos, vincos permanentes ou tensionamento irregular são substituídos ou retensionados antes da receção.</w:t>
      </w:r>
    </w:p>
    <w:p>
      <w:pPr>
        <w:spacing w:before="0" w:after="100" w:line="288" w:lineRule="auto"/>
      </w:pPr>
      <w:r>
        <w:rPr>
          <w:b/>
          <w:sz w:val="20"/>
        </w:rPr>
        <w:t>Garantias.</w:t>
      </w:r>
      <w:r>
        <w:rPr>
          <w:sz w:val="20"/>
        </w:rPr>
        <w:t xml:space="preserve"> Garantia do fabricante de 10 anos para a malha; as do empreiteiro para a subestrutura e a montagem, nos termos legais.</w:t>
      </w:r>
    </w:p>
    <w:p>
      <w:pPr>
        <w:spacing w:before="0" w:after="100" w:line="288" w:lineRule="auto"/>
      </w:pPr>
      <w:r>
        <w:rPr>
          <w:b/>
          <w:sz w:val="20"/>
        </w:rPr>
        <w:t>Documentação.</w:t>
      </w:r>
      <w:r>
        <w:rPr>
          <w:sz w:val="20"/>
        </w:rPr>
        <w:t xml:space="preserve"> Fichas técnicas dos padrões fornecidos, relatório de classificação de reação ao fogo (EN 13501-1) com o campo de aplicação, declaração de correspondência entre o produto fornecido e o ensaiado, classes de reação ao fogo dos perfis, cabos e fixações, cálculo do projeto de estabilidade, plano de modulação e instruções de manutenção. Limpeza com água doce e detergente suave, sem álcool, lixívia nem acetona. Para gorduras ou óleos, o procedimento confirma-se com o fabricante.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Artigo [n.º] · Subestrutura de suporte da segunda pele</w:t>
      </w:r>
    </w:p>
    <w:p>
      <w:pPr>
        <w:spacing w:before="0" w:after="100" w:line="288" w:lineRule="auto"/>
      </w:pPr>
      <w:r>
        <w:rPr>
          <w:b/>
          <w:sz w:val="20"/>
        </w:rPr>
        <w:t>Descrição.</w:t>
      </w:r>
      <w:r>
        <w:rPr>
          <w:sz w:val="20"/>
        </w:rPr>
        <w:t xml:space="preserve"> Fornecimento e montagem de subestrutura de suporte em [material], com consolas fixas às lajes ou a elementos estruturais e montantes que recebem o perímetro dos painéis, incluindo ancoragens, chumbadouros e proteção contra a corrosão para a categoria [ ] (EN ISO 9223), dimensionada pelo projeto de estabilidade para a ação do vento do local (NP EN 1991-1-4 e Anexo Nacional, zona [A | B]).</w:t>
      </w:r>
    </w:p>
    <w:p>
      <w:pPr>
        <w:spacing w:before="0" w:after="100" w:line="288" w:lineRule="auto"/>
      </w:pPr>
      <w:r>
        <w:rPr>
          <w:b/>
          <w:sz w:val="20"/>
        </w:rPr>
        <w:t>Execução e receção.</w:t>
      </w:r>
      <w:r>
        <w:rPr>
          <w:sz w:val="20"/>
        </w:rPr>
        <w:t xml:space="preserve"> Implantação conforme o plano de modulação, com as tolerâncias de alinhamento e de afastamento à fachada definidas no projeto. Verificação das ancoragens e do aperto antes da montagem da malha.</w:t>
      </w:r>
    </w:p>
    <w:p>
      <w:pPr>
        <w:keepNext/>
        <w:spacing w:before="280" w:after="100" w:line="252" w:lineRule="auto"/>
        <w:pBdr>
          <w:bottom w:val="single" w:sz="6" w:space="4" w:color="F2E0DC"/>
        </w:pBdr>
      </w:pPr>
      <w:r>
        <w:rPr>
          <w:b/>
          <w:color w:val="B5523B"/>
          <w:sz w:val="27"/>
        </w:rPr>
        <w:t>3. Mapa de quantidades</w:t>
      </w:r>
    </w:p>
    <w:p>
      <w:pPr>
        <w:spacing w:before="0" w:after="100" w:line="288" w:lineRule="auto"/>
      </w:pPr>
      <w:r>
        <w:rPr>
          <w:b/>
          <w:sz w:val="20"/>
        </w:rPr>
        <w:t>Capítulo:</w:t>
      </w:r>
      <w:r>
        <w:rPr>
          <w:sz w:val="20"/>
        </w:rPr>
        <w:t xml:space="preserve"> Arquitetura · Revestimentos exteriores e proteção solar.</w:t>
      </w:r>
    </w:p>
    <w:p>
      <w:pPr>
        <w:spacing w:before="0" w:after="100" w:line="288" w:lineRule="auto"/>
      </w:pPr>
      <w:r>
        <w:rPr>
          <w:b/>
          <w:sz w:val="20"/>
        </w:rPr>
        <w:t>Critérios de medição.</w:t>
      </w:r>
      <w:r>
        <w:rPr>
          <w:sz w:val="20"/>
        </w:rPr>
        <w:t xml:space="preserve"> Malha: por área de painel (m²), medida pelas dimensões exteriores do perímetro tensionado, sem dedução de aberturas do padrão. Perfis de bordo e cabos: por comprimento (m). Subestrutura: conforme o projeto de estabilidade, por peso (kg) ou por unidade.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color="F2E0DC"/>
          <w:left w:val="nil"/>
          <w:bottom w:val="single" w:sz="4" w:color="F2E0DC"/>
          <w:right w:val="nil"/>
          <w:insideH w:val="single" w:sz="4" w:color="F2E0DC"/>
          <w:insideV w:val="nil"/>
        </w:tblBorders>
        <w:tblCellMar>
          <w:top w:w="51" w:type="dxa"/>
          <w:bottom w:w="51" w:type="dxa"/>
          <w:left w:w="90" w:type="dxa"/>
          <w:right w:w="90" w:type="dxa"/>
        </w:tblCellMar>
      </w:tblPr>
      <w:tblGrid>
        <w:gridCol w:w="964"/>
        <w:gridCol w:w="6746"/>
        <w:gridCol w:w="771"/>
        <w:gridCol w:w="1157"/>
      </w:tblGrid>
      <w:tr>
        <w:trPr>
          <w:tblHeader w:val="true"/>
          <w:cantSplit/>
        </w:trPr>
        <w:tc>
          <w:tcPr>
            <w:tcW w:type="dxa" w:w="964"/>
            <w:shd w:val="clear" w:color="auto" w:fill="B5523B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Art.</w:t>
            </w:r>
          </w:p>
        </w:tc>
        <w:tc>
          <w:tcPr>
            <w:tcW w:type="dxa" w:w="6746"/>
            <w:shd w:val="clear" w:color="auto" w:fill="B5523B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Designação</w:t>
            </w:r>
          </w:p>
        </w:tc>
        <w:tc>
          <w:tcPr>
            <w:tcW w:type="dxa" w:w="771"/>
            <w:shd w:val="clear" w:color="auto" w:fill="B5523B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Un.</w:t>
            </w:r>
          </w:p>
        </w:tc>
        <w:tc>
          <w:tcPr>
            <w:tcW w:type="dxa" w:w="1157"/>
            <w:shd w:val="clear" w:color="auto" w:fill="B5523B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Qt.</w:t>
            </w:r>
          </w:p>
        </w:tc>
      </w:tr>
      <w:tr>
        <w:trPr>
          <w:cantSplit/>
        </w:trPr>
        <w:tc>
          <w:tcPr>
            <w:tcW w:type="dxa" w:w="96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674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Segunda pele em malha técnica multiaxial i-Mesh, ou equivalente, padrão [ ], fibra [ ], escala [ ] %, painéis por medida, incluindo tensionamento e acessórios, conforme caderno de encargos</w:t>
            </w:r>
          </w:p>
        </w:tc>
        <w:tc>
          <w:tcPr>
            <w:tcW w:type="dxa" w:w="771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m²</w:t>
            </w:r>
          </w:p>
        </w:tc>
        <w:tc>
          <w:tcPr>
            <w:tcW w:type="dxa" w:w="115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964"/>
            <w:shd w:val="clear" w:color="auto" w:fill="FCF8F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6746"/>
            <w:shd w:val="clear" w:color="auto" w:fill="FCF8F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Perfis de bordo ou cabos de bordo para fixação e tensionamento do perímetro dos painéis</w:t>
            </w:r>
          </w:p>
        </w:tc>
        <w:tc>
          <w:tcPr>
            <w:tcW w:type="dxa" w:w="771"/>
            <w:shd w:val="clear" w:color="auto" w:fill="FCF8F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m</w:t>
            </w:r>
          </w:p>
        </w:tc>
        <w:tc>
          <w:tcPr>
            <w:tcW w:type="dxa" w:w="1157"/>
            <w:shd w:val="clear" w:color="auto" w:fill="FCF8F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96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674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Subestrutura de suporte em [material], com consolas, montantes, ancoragens e proteção contra a corrosão, conforme projeto de estabilidade</w:t>
            </w:r>
          </w:p>
        </w:tc>
        <w:tc>
          <w:tcPr>
            <w:tcW w:type="dxa" w:w="771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kg</w:t>
            </w:r>
          </w:p>
        </w:tc>
        <w:tc>
          <w:tcPr>
            <w:tcW w:type="dxa" w:w="115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964"/>
            <w:shd w:val="clear" w:color="auto" w:fill="FCF8F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6746"/>
            <w:shd w:val="clear" w:color="auto" w:fill="FCF8F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Protótipo montado em obra (opção)</w:t>
            </w:r>
          </w:p>
        </w:tc>
        <w:tc>
          <w:tcPr>
            <w:tcW w:type="dxa" w:w="771"/>
            <w:shd w:val="clear" w:color="auto" w:fill="FCF8F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vg</w:t>
            </w:r>
          </w:p>
        </w:tc>
        <w:tc>
          <w:tcPr>
            <w:tcW w:type="dxa" w:w="1157"/>
            <w:shd w:val="clear" w:color="auto" w:fill="FCF8F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1</w:t>
            </w:r>
          </w:p>
        </w:tc>
      </w:tr>
    </w:tbl>
    <w:p>
      <w:pPr>
        <w:spacing w:before="0" w:after="80" w:line="240" w:lineRule="auto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CellMar>
          <w:top w:w="113" w:type="dxa"/>
          <w:bottom w:w="113" w:type="dxa"/>
          <w:left w:w="170" w:type="dxa"/>
          <w:right w:w="170" w:type="dxa"/>
        </w:tblCellMar>
      </w:tblPr>
      <w:tblGrid>
        <w:gridCol w:w="9638"/>
      </w:tblGrid>
      <w:tr>
        <w:tc>
          <w:tcPr>
            <w:tcW w:type="dxa" w:w="9638"/>
            <w:shd w:val="clear" w:color="auto" w:fill="FAF3F1"/>
            <w:tcBorders>
              <w:left w:val="single" w:sz="18" w:color="B5523B"/>
            </w:tcBorders>
          </w:tcPr>
          <w:p>
            <w:pPr>
              <w:spacing w:before="0" w:after="0" w:line="276" w:lineRule="auto"/>
            </w:pPr>
            <w:r>
              <w:rPr>
                <w:color w:val="14202B"/>
                <w:sz w:val="18"/>
              </w:rPr>
              <w:t>Os painéis do mesmo padrão, fibra e escala agrupam-se numa só linha.</w:t>
            </w:r>
          </w:p>
        </w:tc>
      </w:tr>
    </w:tbl>
    <w:p>
      <w:pPr>
        <w:spacing w:after="0"/>
      </w:pPr>
    </w:p>
    <w:p>
      <w:pPr>
        <w:spacing w:before="240" w:after="0" w:line="276" w:lineRule="auto"/>
      </w:pPr>
      <w:r>
        <w:rPr>
          <w:color w:val="55606E"/>
          <w:sz w:val="15"/>
        </w:rPr>
        <w:t>Valores da base de dados archiskin, iguais aos das fichas técnicas i-Mesh. Os valores declarados são os do fabricante e podem ser alterados por ele; convém confirmar a versão em vigor antes de prescrever.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701" w:right="1134" w:bottom="1474" w:left="1134" w:header="567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20" w:line="240" w:lineRule="auto"/>
      <w:pBdr>
        <w:top w:val="single" w:sz="6" w:space="4" w:color="B5523B"/>
      </w:pBdr>
    </w:pPr>
    <w:r>
      <w:rPr>
        <w:b/>
        <w:color w:val="B5523B"/>
        <w:sz w:val="16"/>
      </w:rPr>
      <w:t>archiskin.pt</w:t>
    </w:r>
    <w:r>
      <w:rPr>
        <w:color w:val="14202B"/>
        <w:sz w:val="15"/>
      </w:rPr>
      <w:t xml:space="preserve">   ·   info@archihub.pt   ·   220 924 484 </w:t>
    </w:r>
    <w:r>
      <w:rPr>
        <w:color w:val="55606E"/>
        <w:sz w:val="13"/>
      </w:rPr>
      <w:t>(chamada para a rede fixa nacional)</w:t>
    </w:r>
  </w:p>
  <w:p>
    <w:pPr>
      <w:spacing w:before="0" w:after="20" w:line="240" w:lineRule="auto"/>
    </w:pPr>
    <w:r>
      <w:rPr>
        <w:color w:val="55606E"/>
        <w:sz w:val="14"/>
      </w:rPr>
      <w:t>Av. Visconde Barreiros, Ed. Maia Luz, 1.º, Loja 19, 4470-151 Maia   ·   A archiskin é representante em Portugal da i-Mesh, em toda a gama</w:t>
    </w:r>
  </w:p>
  <w:p>
    <w:pPr>
      <w:spacing w:before="0" w:after="0" w:line="240" w:lineRule="auto"/>
    </w:pPr>
    <w:r>
      <w:rPr>
        <w:color w:val="55606E"/>
        <w:sz w:val="14"/>
      </w:rPr>
      <w:t xml:space="preserve">Texto de especificação · Texto de especificação · i-Mesh · segunda pele de fachada · archiskin.pt · i-Mesh · página </w:t>
    </w:r>
    <w:r>
      <w:rPr>
        <w:color w:val="55606E"/>
        <w:sz w:val="14"/>
      </w:rPr>
      <w:fldChar w:fldCharType="begin"/>
    </w:r>
    <w:r>
      <w:rPr>
        <w:color w:val="55606E"/>
        <w:sz w:val="14"/>
      </w:rPr>
      <w:instrText xml:space="preserve"> PAGE </w:instrText>
    </w:r>
    <w:r>
      <w:rPr>
        <w:color w:val="55606E"/>
        <w:sz w:val="14"/>
      </w:rPr>
      <w:fldChar w:fldCharType="separate"/>
    </w:r>
    <w:r>
      <w:rPr>
        <w:color w:val="55606E"/>
        <w:sz w:val="14"/>
      </w:rPr>
      <w:t>1</w:t>
    </w:r>
    <w:r>
      <w:rPr>
        <w:color w:val="55606E"/>
        <w:sz w:val="14"/>
      </w:rPr>
      <w:fldChar w:fldCharType="end"/>
    </w:r>
    <w:r>
      <w:rPr>
        <w:color w:val="55606E"/>
        <w:sz w:val="14"/>
      </w:rPr>
      <w:t xml:space="preserve"> de </w:t>
    </w:r>
    <w:r>
      <w:rPr>
        <w:color w:val="55606E"/>
        <w:sz w:val="14"/>
      </w:rPr>
      <w:fldChar w:fldCharType="begin"/>
    </w:r>
    <w:r>
      <w:rPr>
        <w:color w:val="55606E"/>
        <w:sz w:val="14"/>
      </w:rPr>
      <w:instrText xml:space="preserve"> NUMPAGES </w:instrText>
    </w:r>
    <w:r>
      <w:rPr>
        <w:color w:val="55606E"/>
        <w:sz w:val="14"/>
      </w:rPr>
      <w:fldChar w:fldCharType="separate"/>
    </w:r>
    <w:r>
      <w:rPr>
        <w:color w:val="55606E"/>
        <w:sz w:val="14"/>
      </w:rPr>
      <w:t>1</w:t>
    </w:r>
    <w:r>
      <w:rPr>
        <w:color w:val="55606E"/>
        <w:sz w:val="14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tblLayout w:type="fixed"/>
      <w:tblLook w:firstColumn="1" w:firstRow="1" w:lastColumn="0" w:lastRow="0" w:noHBand="0" w:noVBand="1" w:val="04A0"/>
      <w:tblLayout w:type="fixed"/>
    </w:tblPr>
    <w:tblGrid>
      <w:gridCol w:w="4819"/>
      <w:gridCol w:w="4819"/>
    </w:tblGrid>
    <w:tr>
      <w:tc>
        <w:tcPr>
          <w:tcW w:type="dxa" w:w="4819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193400" cy="306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-archiskin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93400" cy="306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819"/>
          <w:vAlign w:val="center"/>
        </w:tcPr>
        <w:p>
          <w:pPr>
            <w:spacing w:before="0" w:after="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771864" cy="198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-mesh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1864" cy="19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Header"/>
      <w:spacing w:before="0" w:after="0" w:line="240" w:lineRule="auto"/>
      <w:pBdr>
        <w:bottom w:val="single" w:sz="6" w:space="4" w:color="F2E0DC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14202B"/>
      <w:sz w:val="20"/>
      <w:lang w:val="pt-PT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Texto de especificação: Segunda pele de fachada em malha i-Mesh · archiskin</dc:title>
  <dc:subject>Memória descritiva, caderno de encargos e mapa de quantidades</dc:subject>
  <dc:creator>archiskin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pt-PT</dc:language>
</cp:coreProperties>
</file>