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40" w:lineRule="auto"/>
      </w:pPr>
      <w:r>
        <w:rPr>
          <w:b/>
          <w:color w:val="4F6B2A"/>
          <w:sz w:val="15"/>
        </w:rPr>
        <w:t>TEXTO DE ESPECIFICAÇÃO · ARCHIROOF</w:t>
      </w:r>
    </w:p>
    <w:p>
      <w:pPr>
        <w:spacing w:before="0" w:after="60" w:line="252" w:lineRule="auto"/>
      </w:pPr>
      <w:r>
        <w:rPr>
          <w:b/>
          <w:color w:val="14202B"/>
          <w:sz w:val="40"/>
        </w:rPr>
        <w:t>Cobertura verde semi-intensiva Nophadrain</w:t>
      </w:r>
    </w:p>
    <w:p>
      <w:pPr>
        <w:spacing w:before="0" w:after="200" w:line="264" w:lineRule="auto"/>
        <w:pBdr>
          <w:bottom w:val="single" w:sz="8" w:space="4" w:color="4F6B2A"/>
        </w:pBdr>
      </w:pPr>
      <w:r>
        <w:rPr>
          <w:color w:val="55606E"/>
          <w:sz w:val="21"/>
        </w:rPr>
        <w:t>Memória descritiva · caderno de encargos · mapa de quantidades</w:t>
      </w:r>
    </w:p>
    <w:tbl>
      <w:tblPr>
        <w:tblW w:type="auto" w:w="0"/>
        <w:tblLayout w:type="fixed"/>
        <w:tblLook w:firstColumn="1" w:firstRow="1" w:lastColumn="0" w:lastRow="0" w:noHBand="0" w:noVBand="1" w:val="04A0"/>
        <w:tblLayout w:type="fixed"/>
        <w:tblCellMar>
          <w:top w:w="113" w:type="dxa"/>
          <w:bottom w:w="113" w:type="dxa"/>
          <w:left w:w="170" w:type="dxa"/>
          <w:right w:w="170" w:type="dxa"/>
        </w:tblCellMar>
      </w:tblPr>
      <w:tblGrid>
        <w:gridCol w:w="9638"/>
      </w:tblGrid>
      <w:tr>
        <w:tc>
          <w:tcPr>
            <w:tcW w:type="dxa" w:w="9638"/>
            <w:shd w:val="clear" w:color="auto" w:fill="F3F5F0"/>
            <w:tcBorders>
              <w:left w:val="single" w:sz="18" w:color="4F6B2A"/>
            </w:tcBorders>
          </w:tcPr>
          <w:p>
            <w:pPr>
              <w:spacing w:before="0" w:after="0" w:line="276" w:lineRule="auto"/>
            </w:pPr>
            <w:r>
              <w:rPr>
                <w:color w:val="14202B"/>
                <w:sz w:val="18"/>
              </w:rPr>
              <w:t>Os campos entre parênteses retos [ ] completam-se com os dados do projeto. Quando um parágrafo apresenta opções, mantém-se apenas a que corresponde à solução adotada e eliminam-se as restantes. Os valores são os da base de dados archiroof e coincidem com os das fichas técnicas e da calculadora archiroof. O documento destina-se a ser copiado para a memória descritiva, o caderno de encargos e o mapa de quantidades do projeto.</w:t>
            </w:r>
          </w:p>
        </w:tc>
      </w:tr>
    </w:tbl>
    <w:p>
      <w:pPr>
        <w:spacing w:after="0"/>
      </w:pPr>
    </w:p>
    <w:p>
      <w:pPr>
        <w:keepNext/>
        <w:spacing w:before="280" w:after="100" w:line="252" w:lineRule="auto"/>
        <w:pBdr>
          <w:bottom w:val="single" w:sz="6" w:space="4" w:color="DFE4D9"/>
        </w:pBdr>
      </w:pPr>
      <w:r>
        <w:rPr>
          <w:b/>
          <w:color w:val="4F6B2A"/>
          <w:sz w:val="27"/>
        </w:rPr>
        <w:t>1. Memória descritiva</w:t>
      </w:r>
    </w:p>
    <w:p>
      <w:pPr>
        <w:spacing w:before="0" w:after="100" w:line="288" w:lineRule="auto"/>
      </w:pPr>
      <w:r>
        <w:rPr>
          <w:sz w:val="20"/>
        </w:rPr>
        <w:t>Texto justificativo para integrar na memória descritiva do projeto de arquitetura ou de arquitetura paisagista.</w:t>
      </w:r>
    </w:p>
    <w:p>
      <w:pPr>
        <w:keepNext/>
        <w:spacing w:before="160" w:after="60" w:line="264" w:lineRule="auto"/>
      </w:pPr>
      <w:r>
        <w:rPr>
          <w:b/>
          <w:color w:val="14202B"/>
          <w:sz w:val="21"/>
        </w:rPr>
        <w:t>Solução</w:t>
      </w:r>
    </w:p>
    <w:p>
      <w:pPr>
        <w:spacing w:before="0" w:after="100" w:line="288" w:lineRule="auto"/>
      </w:pPr>
      <w:r>
        <w:rPr>
          <w:sz w:val="20"/>
        </w:rPr>
        <w:t>Prevê-se uma cobertura verde semi-intensiva, com uma área de [ ] m², com herbáceas vivazes, gramíneas, aromáticas e pequenos arbustos sobre 150 a 250 mm de substrato, a espessura que define a cobertura semi-intensiva (15 a 25 cm). A cobertura tem acesso pontual, com [caminhos | zonas de estar] em lajetas conforme as peças desenhadas.</w:t>
      </w:r>
    </w:p>
    <w:p>
      <w:pPr>
        <w:keepNext/>
        <w:spacing w:before="160" w:after="60" w:line="264" w:lineRule="auto"/>
      </w:pPr>
      <w:r>
        <w:rPr>
          <w:b/>
          <w:color w:val="14202B"/>
          <w:sz w:val="21"/>
        </w:rPr>
        <w:t>Constituição</w:t>
      </w:r>
    </w:p>
    <w:p>
      <w:pPr>
        <w:spacing w:before="0" w:after="100" w:line="288" w:lineRule="auto"/>
      </w:pPr>
      <w:r>
        <w:rPr>
          <w:sz w:val="20"/>
        </w:rPr>
        <w:t>De cima para baixo:</w:t>
      </w:r>
    </w:p>
    <w:p>
      <w:pPr>
        <w:pStyle w:val="ListBullet"/>
        <w:spacing w:before="0" w:after="40" w:line="276" w:lineRule="auto"/>
      </w:pPr>
      <w:r>
        <w:rPr>
          <w:b/>
          <w:sz w:val="20"/>
        </w:rPr>
        <w:t>Vegetação semi-intensiva</w:t>
      </w:r>
      <w:r>
        <w:rPr>
          <w:sz w:val="20"/>
        </w:rPr>
        <w:t>: herbáceas vivazes, gramíneas, aromáticas e pequenos arbustos, plantados em alvéolos ou em vasos de 12 cm.</w:t>
      </w:r>
    </w:p>
    <w:p>
      <w:pPr>
        <w:pStyle w:val="ListBullet"/>
        <w:spacing w:before="0" w:after="40" w:line="276" w:lineRule="auto"/>
      </w:pPr>
      <w:r>
        <w:rPr>
          <w:b/>
          <w:sz w:val="20"/>
        </w:rPr>
        <w:t>Rega gota a gota</w:t>
      </w:r>
      <w:r>
        <w:rPr>
          <w:sz w:val="20"/>
        </w:rPr>
        <w:t>: tubo gotejador autocompensante com válvula antirretorno, em duas posições possíveis: à superfície do substrato, junto de cada planta, com tubo comum; sob os tapetes de vegetação pré-cultivados, com tubo com proteção antirraízes.</w:t>
      </w:r>
    </w:p>
    <w:p>
      <w:pPr>
        <w:pStyle w:val="ListBullet"/>
        <w:spacing w:before="0" w:after="40" w:line="276" w:lineRule="auto"/>
      </w:pPr>
      <w:r>
        <w:rPr>
          <w:b/>
          <w:sz w:val="20"/>
        </w:rPr>
        <w:t>Substrato semi-intensivo</w:t>
      </w:r>
      <w:r>
        <w:rPr>
          <w:sz w:val="20"/>
        </w:rPr>
        <w:t xml:space="preserve"> (150 a 250 mm): substrato estruturalmente estável, com mais matéria orgânica do que o extensivo.</w:t>
      </w:r>
    </w:p>
    <w:p>
      <w:pPr>
        <w:pStyle w:val="ListBullet"/>
        <w:spacing w:before="0" w:after="40" w:line="276" w:lineRule="auto"/>
      </w:pPr>
      <w:r>
        <w:rPr>
          <w:b/>
          <w:sz w:val="20"/>
        </w:rPr>
        <w:t>Reserva de água</w:t>
      </w:r>
      <w:r>
        <w:rPr>
          <w:sz w:val="20"/>
        </w:rPr>
        <w:t xml:space="preserve"> (50 mm, opcional): placas de lã mineral hidrófila com cerca de 40 l/m² de água disponível para as plantas. Produto de referência: ND WSM-50.</w:t>
      </w:r>
    </w:p>
    <w:p>
      <w:pPr>
        <w:pStyle w:val="ListBullet"/>
        <w:spacing w:before="0" w:after="40" w:line="276" w:lineRule="auto"/>
      </w:pPr>
      <w:r>
        <w:rPr>
          <w:b/>
          <w:sz w:val="20"/>
        </w:rPr>
        <w:t>Filtro, drenagem e reserva de água</w:t>
      </w:r>
      <w:r>
        <w:rPr>
          <w:sz w:val="20"/>
        </w:rPr>
        <w:t xml:space="preserve"> (17 a 27 mm): escolha pelo desempenho: compressão, drenagem a longo prazo e água armazenada acessível às plantas. Produto de referência: ND 4+1h, ND 5+1 ou ND 6+1v.</w:t>
      </w:r>
    </w:p>
    <w:p>
      <w:pPr>
        <w:pStyle w:val="ListBullet"/>
        <w:spacing w:before="0" w:after="40" w:line="276" w:lineRule="auto"/>
      </w:pPr>
      <w:r>
        <w:rPr>
          <w:b/>
          <w:sz w:val="20"/>
        </w:rPr>
        <w:t>Barreira antirraiz</w:t>
      </w:r>
      <w:r>
        <w:rPr>
          <w:sz w:val="20"/>
        </w:rPr>
        <w:t xml:space="preserve"> (0,8 mm): quando a impermeabilização não é resistente a raízes. Produto de referência: ND WSB-80.</w:t>
      </w:r>
    </w:p>
    <w:p>
      <w:pPr>
        <w:pStyle w:val="ListBullet"/>
        <w:spacing w:before="0" w:after="40" w:line="276" w:lineRule="auto"/>
      </w:pPr>
      <w:r>
        <w:rPr>
          <w:b/>
          <w:sz w:val="20"/>
        </w:rPr>
        <w:t>Impermeabilização</w:t>
      </w:r>
      <w:r>
        <w:rPr>
          <w:sz w:val="20"/>
        </w:rPr>
        <w:t>: qualquer sistema, betuminoso, PVC, EPDM ou líquido. Resistente a raízes, ou complementado com barreira antirraiz.</w:t>
      </w:r>
    </w:p>
    <w:p>
      <w:pPr>
        <w:pStyle w:val="ListBullet"/>
        <w:spacing w:before="0" w:after="40" w:line="276" w:lineRule="auto"/>
      </w:pPr>
      <w:r>
        <w:rPr>
          <w:b/>
          <w:sz w:val="20"/>
        </w:rPr>
        <w:t>Laje de cobertura</w:t>
      </w:r>
      <w:r>
        <w:rPr>
          <w:sz w:val="20"/>
        </w:rPr>
        <w:t>: suporte estrutural, com pendente de 2 % ou mais.</w:t>
      </w:r>
    </w:p>
    <w:p>
      <w:pPr>
        <w:spacing w:before="0" w:after="100" w:line="288" w:lineRule="auto"/>
      </w:pPr>
      <w:r>
        <w:rPr>
          <w:sz w:val="20"/>
        </w:rPr>
        <w:t>O sistema aplica-se sobre qualquer impermeabilização (betuminosa, PVC, EPDM, líquida), resistente a raízes ou com barreira antirraiz. A impermeabilização, os seus remates e o respetivo ensaio são objeto de capítulo próprio do projeto e não fazem parte deste texto.</w:t>
      </w:r>
    </w:p>
    <w:p>
      <w:pPr>
        <w:keepNext/>
        <w:spacing w:before="160" w:after="60" w:line="264" w:lineRule="auto"/>
      </w:pPr>
      <w:r>
        <w:rPr>
          <w:b/>
          <w:color w:val="14202B"/>
          <w:sz w:val="21"/>
        </w:rPr>
        <w:t>Cargas e água</w:t>
      </w:r>
    </w:p>
    <w:p>
      <w:pPr>
        <w:spacing w:before="0" w:after="100" w:line="288" w:lineRule="auto"/>
      </w:pPr>
      <w:r>
        <w:rPr>
          <w:sz w:val="20"/>
        </w:rPr>
        <w:t>Valores indicativos, a confirmar no projeto:</w:t>
      </w:r>
    </w:p>
    <w:p>
      <w:pPr>
        <w:pStyle w:val="ListBullet"/>
        <w:spacing w:before="0" w:after="40" w:line="276" w:lineRule="auto"/>
      </w:pPr>
      <w:r>
        <w:rPr>
          <w:sz w:val="20"/>
        </w:rPr>
        <w:t>15–25 cm · de substrato</w:t>
      </w:r>
    </w:p>
    <w:p>
      <w:pPr>
        <w:pStyle w:val="ListBullet"/>
        <w:spacing w:before="0" w:after="40" w:line="276" w:lineRule="auto"/>
      </w:pPr>
      <w:r>
        <w:rPr>
          <w:sz w:val="20"/>
        </w:rPr>
        <w:t>≈ 230–420 kg/m² · peso saturado indicativo</w:t>
      </w:r>
    </w:p>
    <w:p>
      <w:pPr>
        <w:pStyle w:val="ListBullet"/>
        <w:spacing w:before="0" w:after="40" w:line="276" w:lineRule="auto"/>
      </w:pPr>
      <w:r>
        <w:rPr>
          <w:sz w:val="20"/>
        </w:rPr>
        <w:t>0,10–0,20 kN/m² · carga da vegetação</w:t>
      </w:r>
    </w:p>
    <w:p>
      <w:pPr>
        <w:pStyle w:val="ListBullet"/>
        <w:spacing w:before="0" w:after="40" w:line="276" w:lineRule="auto"/>
      </w:pPr>
      <w:r>
        <w:rPr>
          <w:sz w:val="20"/>
        </w:rPr>
        <w:t>+ 40 l/m² · com placas de reserva de água</w:t>
      </w:r>
    </w:p>
    <w:p>
      <w:pPr>
        <w:spacing w:before="0" w:after="100" w:line="288" w:lineRule="auto"/>
      </w:pPr>
      <w:r>
        <w:rPr>
          <w:sz w:val="20"/>
        </w:rPr>
        <w:t>Os valores de carga indicados são uma estimativa para substrato saturado (cerca de 1,4 t/m³) e devem ser confirmados no projeto. O peso saturado entra no cálculo estrutural com as sobrecargas de utilização (NP EN 1991-1-1) e a neve, onde é relevante (NP EN 1991-1-3). Valor de projeto, obtido na calculadora archiroof: [ ] kg/m² saturado.</w:t>
      </w:r>
    </w:p>
    <w:p>
      <w:pPr>
        <w:keepNext/>
        <w:spacing w:before="160" w:after="60" w:line="264" w:lineRule="auto"/>
      </w:pPr>
      <w:r>
        <w:rPr>
          <w:b/>
          <w:color w:val="14202B"/>
          <w:sz w:val="21"/>
        </w:rPr>
        <w:t>Ação do vento</w:t>
      </w:r>
    </w:p>
    <w:p>
      <w:pPr>
        <w:spacing w:before="0" w:after="100" w:line="288" w:lineRule="auto"/>
      </w:pPr>
      <w:r>
        <w:rPr>
          <w:sz w:val="20"/>
        </w:rPr>
        <w:t>O sistema resiste à sucção do vento pelo seu próprio peso, sem fixações à laje. A ação do vento determina-se segundo a NP EN 1991-1-4 e o respetivo Anexo Nacional, com a zona e a categoria de terreno do local, incluindo as Regiões Autónomas da Madeira e dos Açores. As cargas mínimas de referência do sistema em estado seco são as seguintes, maiores nos cantos e na periferia do que na zona central da cobertura:</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855"/>
        <w:gridCol w:w="2891"/>
        <w:gridCol w:w="2891"/>
      </w:tblGrid>
      <w:tr>
        <w:trPr>
          <w:tblHeader w:val="true"/>
          <w:cantSplit/>
        </w:trPr>
        <w:tc>
          <w:tcPr>
            <w:tcW w:type="dxa" w:w="3855"/>
            <w:shd w:val="clear" w:color="auto" w:fill="4F6B2A"/>
          </w:tcPr>
          <w:p>
            <w:pPr>
              <w:spacing w:before="0" w:after="0" w:line="252" w:lineRule="auto"/>
            </w:pPr>
            <w:r>
              <w:rPr>
                <w:b/>
                <w:color w:val="FFFFFF"/>
                <w:sz w:val="16"/>
              </w:rPr>
              <w:t>Altura do edifício</w:t>
            </w:r>
          </w:p>
        </w:tc>
        <w:tc>
          <w:tcPr>
            <w:tcW w:type="dxa" w:w="2891"/>
            <w:shd w:val="clear" w:color="auto" w:fill="4F6B2A"/>
          </w:tcPr>
          <w:p>
            <w:pPr>
              <w:spacing w:before="0" w:after="0" w:line="252" w:lineRule="auto"/>
            </w:pPr>
            <w:r>
              <w:rPr>
                <w:b/>
                <w:color w:val="FFFFFF"/>
                <w:sz w:val="16"/>
              </w:rPr>
              <w:t>Cantos e periferia (kg/m²)</w:t>
            </w:r>
          </w:p>
        </w:tc>
        <w:tc>
          <w:tcPr>
            <w:tcW w:type="dxa" w:w="2891"/>
            <w:shd w:val="clear" w:color="auto" w:fill="4F6B2A"/>
          </w:tcPr>
          <w:p>
            <w:pPr>
              <w:spacing w:before="0" w:after="0" w:line="252" w:lineRule="auto"/>
            </w:pPr>
            <w:r>
              <w:rPr>
                <w:b/>
                <w:color w:val="FFFFFF"/>
                <w:sz w:val="16"/>
              </w:rPr>
              <w:t>Zona central (kg/m²)</w:t>
            </w:r>
          </w:p>
        </w:tc>
      </w:tr>
      <w:tr>
        <w:trPr>
          <w:cantSplit/>
        </w:trPr>
        <w:tc>
          <w:tcPr>
            <w:tcW w:type="dxa" w:w="3855"/>
          </w:tcPr>
          <w:p>
            <w:pPr>
              <w:spacing w:before="0" w:after="0" w:line="264" w:lineRule="auto"/>
            </w:pPr>
            <w:r>
              <w:rPr>
                <w:color w:val="14202B"/>
                <w:sz w:val="17"/>
              </w:rPr>
              <w:t>&lt; 8 m</w:t>
            </w:r>
          </w:p>
        </w:tc>
        <w:tc>
          <w:tcPr>
            <w:tcW w:type="dxa" w:w="2891"/>
          </w:tcPr>
          <w:p>
            <w:pPr>
              <w:spacing w:before="0" w:after="0" w:line="264" w:lineRule="auto"/>
            </w:pPr>
            <w:r>
              <w:rPr>
                <w:color w:val="14202B"/>
                <w:sz w:val="17"/>
              </w:rPr>
              <w:t>100</w:t>
            </w:r>
          </w:p>
        </w:tc>
        <w:tc>
          <w:tcPr>
            <w:tcW w:type="dxa" w:w="2891"/>
          </w:tcPr>
          <w:p>
            <w:pPr>
              <w:spacing w:before="0" w:after="0" w:line="264" w:lineRule="auto"/>
            </w:pPr>
            <w:r>
              <w:rPr>
                <w:color w:val="14202B"/>
                <w:sz w:val="17"/>
              </w:rPr>
              <w:t>50</w:t>
            </w:r>
          </w:p>
        </w:tc>
      </w:tr>
      <w:tr>
        <w:trPr>
          <w:cantSplit/>
        </w:trPr>
        <w:tc>
          <w:tcPr>
            <w:tcW w:type="dxa" w:w="3855"/>
            <w:shd w:val="clear" w:color="auto" w:fill="F8F9F6"/>
          </w:tcPr>
          <w:p>
            <w:pPr>
              <w:spacing w:before="0" w:after="0" w:line="264" w:lineRule="auto"/>
            </w:pPr>
            <w:r>
              <w:rPr>
                <w:color w:val="14202B"/>
                <w:sz w:val="17"/>
              </w:rPr>
              <w:t>8 a 22 m</w:t>
            </w:r>
          </w:p>
        </w:tc>
        <w:tc>
          <w:tcPr>
            <w:tcW w:type="dxa" w:w="2891"/>
            <w:shd w:val="clear" w:color="auto" w:fill="F8F9F6"/>
          </w:tcPr>
          <w:p>
            <w:pPr>
              <w:spacing w:before="0" w:after="0" w:line="264" w:lineRule="auto"/>
            </w:pPr>
            <w:r>
              <w:rPr>
                <w:color w:val="14202B"/>
                <w:sz w:val="17"/>
              </w:rPr>
              <w:t>160</w:t>
            </w:r>
          </w:p>
        </w:tc>
        <w:tc>
          <w:tcPr>
            <w:tcW w:type="dxa" w:w="2891"/>
            <w:shd w:val="clear" w:color="auto" w:fill="F8F9F6"/>
          </w:tcPr>
          <w:p>
            <w:pPr>
              <w:spacing w:before="0" w:after="0" w:line="264" w:lineRule="auto"/>
            </w:pPr>
            <w:r>
              <w:rPr>
                <w:color w:val="14202B"/>
                <w:sz w:val="17"/>
              </w:rPr>
              <w:t>60</w:t>
            </w:r>
          </w:p>
        </w:tc>
      </w:tr>
      <w:tr>
        <w:trPr>
          <w:cantSplit/>
        </w:trPr>
        <w:tc>
          <w:tcPr>
            <w:tcW w:type="dxa" w:w="3855"/>
          </w:tcPr>
          <w:p>
            <w:pPr>
              <w:spacing w:before="0" w:after="0" w:line="264" w:lineRule="auto"/>
            </w:pPr>
            <w:r>
              <w:rPr>
                <w:color w:val="14202B"/>
                <w:sz w:val="17"/>
              </w:rPr>
              <w:t>&gt; 22 m</w:t>
            </w:r>
          </w:p>
        </w:tc>
        <w:tc>
          <w:tcPr>
            <w:tcW w:type="dxa" w:w="2891"/>
          </w:tcPr>
          <w:p>
            <w:pPr>
              <w:spacing w:before="0" w:after="0" w:line="264" w:lineRule="auto"/>
            </w:pPr>
            <w:r>
              <w:rPr>
                <w:color w:val="14202B"/>
                <w:sz w:val="17"/>
              </w:rPr>
              <w:t>200</w:t>
            </w:r>
          </w:p>
        </w:tc>
        <w:tc>
          <w:tcPr>
            <w:tcW w:type="dxa" w:w="2891"/>
          </w:tcPr>
          <w:p>
            <w:pPr>
              <w:spacing w:before="0" w:after="0" w:line="264" w:lineRule="auto"/>
            </w:pPr>
            <w:r>
              <w:rPr>
                <w:color w:val="14202B"/>
                <w:sz w:val="17"/>
              </w:rPr>
              <w:t>80</w:t>
            </w:r>
          </w:p>
        </w:tc>
      </w:tr>
    </w:tbl>
    <w:p>
      <w:pPr>
        <w:spacing w:before="0" w:after="80" w:line="240" w:lineRule="auto"/>
      </w:pPr>
    </w:p>
    <w:p>
      <w:pPr>
        <w:spacing w:before="0" w:after="100" w:line="288" w:lineRule="auto"/>
      </w:pPr>
      <w:r>
        <w:rPr>
          <w:sz w:val="20"/>
        </w:rPr>
        <w:t>Nos cantos e na periferia, onde a carga do sistema não chega ao valor exigido, usa-se uma faixa de gravilha ou de lajetas, com a largura e o peso definidos no projeto: [ ] m e [ ] kg/m².</w:t>
      </w:r>
    </w:p>
    <w:p>
      <w:pPr>
        <w:keepNext/>
        <w:spacing w:before="160" w:after="60" w:line="264" w:lineRule="auto"/>
      </w:pPr>
      <w:r>
        <w:rPr>
          <w:b/>
          <w:color w:val="14202B"/>
          <w:sz w:val="21"/>
        </w:rPr>
        <w:t>Drenagem e pendentes</w:t>
      </w:r>
    </w:p>
    <w:p>
      <w:pPr>
        <w:spacing w:before="0" w:after="100" w:line="288" w:lineRule="auto"/>
      </w:pPr>
      <w:r>
        <w:rPr>
          <w:sz w:val="20"/>
        </w:rPr>
        <w:t>Pendente efetiva mínima da laje de 1 % (2 % nos sistemas monocamada), com empoçamento tolerado em até 5 % da área e até 5 mm. Os remates verticais sobem pelo menos 150 mm acima da superfície da vegetação ou do pavimento. A camada drenante escolhe-se pelo desempenho: resistência à compressão face às cargas, capacidade de drenagem no plano a longo prazo e água armazenada acessível às plantas. A capacidade de drenagem no plano exigida calcula-se por q' = A × C × r / L, em que A é a área a drenar (m²), C o coeficiente de escoamento, r a intensidade da chuvada de projeto (l/(s·m²)) e L o comprimento do bordo para onde a água escoa (m). A intensidade da chuvada de projeto resulta das curvas intensidade-duração-frequência do Decreto Regulamentar n.º 23/95 (Anexo IX), para a região pluviométrica do local (A, B ou C, incluindo as Regiões Autónomas) e o período de retorno adotado.</w:t>
      </w:r>
    </w:p>
    <w:p>
      <w:pPr>
        <w:keepNext/>
        <w:spacing w:before="160" w:after="60" w:line="264" w:lineRule="auto"/>
      </w:pPr>
      <w:r>
        <w:rPr>
          <w:b/>
          <w:color w:val="14202B"/>
          <w:sz w:val="21"/>
        </w:rPr>
        <w:t>Rega</w:t>
      </w:r>
    </w:p>
    <w:p>
      <w:pPr>
        <w:spacing w:before="0" w:after="100" w:line="288" w:lineRule="auto"/>
      </w:pPr>
      <w:r>
        <w:rPr>
          <w:sz w:val="20"/>
        </w:rPr>
        <w:t>Rega gota a gota em todas as zonas, com o tubo à superfície e as linhas a passar junto de cada planta. Até as raízes saírem do torrão, a rega manual de instalação completa a rega automática. O sistema é comandado por programador com sensor de humidade do substrato e dividido em zonas por tipo de plantação e exposição. O tubo gotejador é autocompensante, com válvula antirretorno, em duas posições possíveis:</w:t>
      </w:r>
    </w:p>
    <w:p>
      <w:pPr>
        <w:keepNext/>
        <w:spacing w:before="80" w:after="40" w:line="264" w:lineRule="auto"/>
      </w:pPr>
      <w:r>
        <w:rPr>
          <w:b/>
          <w:i w:val="0"/>
          <w:color w:val="4F6B2A"/>
          <w:sz w:val="18"/>
        </w:rPr>
        <w:t>[Opção A · tubo gotejador à superfície do substrato]</w:t>
      </w:r>
    </w:p>
    <w:p>
      <w:pPr>
        <w:spacing w:before="0" w:after="100" w:line="288" w:lineRule="auto"/>
      </w:pPr>
      <w:r>
        <w:rPr>
          <w:sz w:val="20"/>
        </w:rPr>
        <w:t>Tubo gotejador comum, assente à superfície do substrato, com as linhas junto das plantas, na plantação em alvéolo, por estacas ou em vaso.</w:t>
      </w:r>
    </w:p>
    <w:p>
      <w:pPr>
        <w:keepNext/>
        <w:spacing w:before="80" w:after="40" w:line="264" w:lineRule="auto"/>
      </w:pPr>
      <w:r>
        <w:rPr>
          <w:b/>
          <w:i w:val="0"/>
          <w:color w:val="4F6B2A"/>
          <w:sz w:val="18"/>
        </w:rPr>
        <w:t>[Opção B · tubo gotejador sob tapete pré-cultivado]</w:t>
      </w:r>
    </w:p>
    <w:p>
      <w:pPr>
        <w:spacing w:before="0" w:after="100" w:line="288" w:lineRule="auto"/>
      </w:pPr>
      <w:r>
        <w:rPr>
          <w:sz w:val="20"/>
        </w:rPr>
        <w:t>Tubo gotejador com proteção antirraízes, colocado por baixo dos tapetes de vegetação pré-cultivados.</w:t>
      </w:r>
    </w:p>
    <w:p>
      <w:pPr>
        <w:keepNext/>
        <w:spacing w:before="160" w:after="60" w:line="264" w:lineRule="auto"/>
      </w:pPr>
      <w:r>
        <w:rPr>
          <w:b/>
          <w:color w:val="14202B"/>
          <w:sz w:val="21"/>
        </w:rPr>
        <w:t>Vegetação</w:t>
      </w:r>
    </w:p>
    <w:p>
      <w:pPr>
        <w:spacing w:before="0" w:after="100" w:line="288" w:lineRule="auto"/>
      </w:pPr>
      <w:r>
        <w:rPr>
          <w:sz w:val="20"/>
        </w:rPr>
        <w:t>Aromáticas mediterrânicas (alecrim, lavanda, santolina, tomilhos), herbáceas vivazes e gramíneas não invasoras, com pequenos arbustos autóctones. A escolha das espécies tem em conta a zona climática do local, no Continente, na Madeira (litoral ou altitude) ou nos Açores, e a exposição ao sol e ao vento, com preferência por espécies autóctones ou mediterrânicas. O guia de plantas archiroof classifica as espécies recomendadas para cada uma destas zonas. Excluem-se as espécies das listas legais de espécies invasoras: Anexo II do Decreto-Lei n.º 92/2019 no Continente, Anexo II do Decreto Legislativo Regional n.º 17/2023/M na Região Autónoma da Madeira e Anexo IX do Decreto Legislativo Regional n.º 15/2012/A na Região Autónoma dos Açores.</w:t>
      </w:r>
    </w:p>
    <w:p>
      <w:pPr>
        <w:keepNext/>
        <w:spacing w:before="160" w:after="60" w:line="264" w:lineRule="auto"/>
      </w:pPr>
      <w:r>
        <w:rPr>
          <w:b/>
          <w:color w:val="14202B"/>
          <w:sz w:val="21"/>
        </w:rPr>
        <w:t>Manutenção</w:t>
      </w:r>
    </w:p>
    <w:p>
      <w:pPr>
        <w:spacing w:before="0" w:after="100" w:line="288" w:lineRule="auto"/>
      </w:pPr>
      <w:r>
        <w:rPr>
          <w:sz w:val="20"/>
        </w:rPr>
        <w:t>Duas a quatro visitas por ano: limpeza de espontâneas, podas ligeiras, reposição de plantas, revisão da rega, dos filtros e dos ralos.</w:t>
      </w:r>
    </w:p>
    <w:p>
      <w:pPr>
        <w:keepNext/>
        <w:spacing w:before="160" w:after="60" w:line="264" w:lineRule="auto"/>
      </w:pPr>
      <w:r>
        <w:rPr>
          <w:b/>
          <w:color w:val="14202B"/>
          <w:sz w:val="21"/>
        </w:rPr>
        <w:t>Síntese</w:t>
      </w:r>
    </w:p>
    <w:p>
      <w:pPr>
        <w:spacing w:before="0" w:after="100" w:line="288" w:lineRule="auto"/>
      </w:pPr>
      <w:r>
        <w:rPr>
          <w:sz w:val="20"/>
        </w:rPr>
        <w:t>Cobertura verde semi-intensiva Nophadrain com sistema de drenagem [ND 4+1h | ND 5+1 | ND 6+1v], placas de reserva de água ND WSM-50 [opcionais], 150 a 250 mm de substrato, vegetação de herbáceas, gramíneas, aromáticas e pequenos arbustos e rega gota a gota, em [ ] m², sobre impermeabilização resistente a raízes ou com barreira antirraiz ND WSB-80.</w:t>
      </w:r>
    </w:p>
    <w:p>
      <w:pPr>
        <w:keepNext/>
        <w:spacing w:before="280" w:after="100" w:line="252" w:lineRule="auto"/>
        <w:pBdr>
          <w:bottom w:val="single" w:sz="6" w:space="4" w:color="DFE4D9"/>
        </w:pBdr>
      </w:pPr>
      <w:r>
        <w:rPr>
          <w:b/>
          <w:color w:val="4F6B2A"/>
          <w:sz w:val="27"/>
        </w:rPr>
        <w:t>2. Caderno de encargos</w:t>
      </w:r>
    </w:p>
    <w:p>
      <w:pPr>
        <w:spacing w:before="0" w:after="100" w:line="288" w:lineRule="auto"/>
      </w:pPr>
      <w:r>
        <w:rPr>
          <w:sz w:val="20"/>
        </w:rPr>
        <w:t>Todos os artigos incluem o fornecimento, o transporte, a elevação à cobertura, a colocação e os trabalhos acessórios necessários.</w:t>
      </w:r>
    </w:p>
    <w:p>
      <w:pPr>
        <w:keepNext/>
        <w:spacing w:before="160" w:after="60" w:line="264" w:lineRule="auto"/>
      </w:pPr>
      <w:r>
        <w:rPr>
          <w:b/>
          <w:color w:val="14202B"/>
          <w:sz w:val="21"/>
        </w:rPr>
        <w:t>Artigo [n.º] · Barreira antirraiz</w:t>
      </w:r>
    </w:p>
    <w:p>
      <w:pPr>
        <w:keepNext/>
        <w:spacing w:before="80" w:after="40" w:line="264" w:lineRule="auto"/>
      </w:pPr>
      <w:r>
        <w:rPr>
          <w:b/>
          <w:i w:val="0"/>
          <w:color w:val="4F6B2A"/>
          <w:sz w:val="18"/>
        </w:rPr>
        <w:t>[Opção · impermeabilização não resistente a raízes]</w:t>
      </w:r>
    </w:p>
    <w:p>
      <w:pPr>
        <w:spacing w:before="0" w:after="100" w:line="288" w:lineRule="auto"/>
      </w:pPr>
      <w:r>
        <w:rPr>
          <w:b/>
          <w:sz w:val="20"/>
        </w:rPr>
        <w:t>Descrição.</w:t>
      </w:r>
      <w:r>
        <w:rPr>
          <w:sz w:val="20"/>
        </w:rPr>
        <w:t xml:space="preserve"> Fornecimento e colocação de barreira antirraiz do tipo </w:t>
      </w:r>
      <w:r>
        <w:rPr>
          <w:b/>
          <w:sz w:val="20"/>
        </w:rPr>
        <w:t>ND WSB-80</w:t>
      </w:r>
      <w:r>
        <w:rPr>
          <w:sz w:val="20"/>
        </w:rPr>
        <w:t xml:space="preserve"> da Nophadrain, ou equivalente previamente aprovado pela fiscalização, em polietileno de baixa densidade (LDPE modificado), com 0,8 mm de espessura, sobre a impermeabilização e subindo nos remates verticais. Mantém-se apenas quando a impermeabilização não é resistente a raízes.</w:t>
      </w:r>
    </w:p>
    <w:p>
      <w:pPr>
        <w:keepNext/>
        <w:spacing w:before="0" w:after="100" w:line="288" w:lineRule="auto"/>
      </w:pPr>
      <w:r>
        <w:rPr>
          <w:b/>
          <w:sz w:val="20"/>
        </w:rPr>
        <w:t>Quadro de desempenho exigido.</w:t>
      </w:r>
      <w:r>
        <w:rPr>
          <w:sz w:val="20"/>
        </w:rPr>
        <w:t xml:space="preserve"> A barreira cumpre, no mínimo, os valores seguintes.</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180"/>
        <w:gridCol w:w="2795"/>
        <w:gridCol w:w="1638"/>
        <w:gridCol w:w="2024"/>
      </w:tblGrid>
      <w:tr>
        <w:trPr>
          <w:tblHeader w:val="true"/>
          <w:cantSplit/>
        </w:trPr>
        <w:tc>
          <w:tcPr>
            <w:tcW w:type="dxa" w:w="3180"/>
            <w:shd w:val="clear" w:color="auto" w:fill="4F6B2A"/>
          </w:tcPr>
          <w:p>
            <w:pPr>
              <w:spacing w:before="0" w:after="0" w:line="252" w:lineRule="auto"/>
            </w:pPr>
            <w:r>
              <w:rPr>
                <w:b/>
                <w:color w:val="FFFFFF"/>
                <w:sz w:val="16"/>
              </w:rPr>
              <w:t>Característica</w:t>
            </w:r>
          </w:p>
        </w:tc>
        <w:tc>
          <w:tcPr>
            <w:tcW w:type="dxa" w:w="2795"/>
            <w:shd w:val="clear" w:color="auto" w:fill="4F6B2A"/>
          </w:tcPr>
          <w:p>
            <w:pPr>
              <w:spacing w:before="0" w:after="0" w:line="252" w:lineRule="auto"/>
            </w:pPr>
            <w:r>
              <w:rPr>
                <w:b/>
                <w:color w:val="FFFFFF"/>
                <w:sz w:val="16"/>
              </w:rPr>
              <w:t>Valor exigido</w:t>
            </w:r>
          </w:p>
        </w:tc>
        <w:tc>
          <w:tcPr>
            <w:tcW w:type="dxa" w:w="1638"/>
            <w:shd w:val="clear" w:color="auto" w:fill="4F6B2A"/>
          </w:tcPr>
          <w:p>
            <w:pPr>
              <w:spacing w:before="0" w:after="0" w:line="252" w:lineRule="auto"/>
            </w:pPr>
            <w:r>
              <w:rPr>
                <w:b/>
                <w:color w:val="FFFFFF"/>
                <w:sz w:val="16"/>
              </w:rPr>
              <w:t>Norma de ensaio</w:t>
            </w:r>
          </w:p>
        </w:tc>
        <w:tc>
          <w:tcPr>
            <w:tcW w:type="dxa" w:w="2024"/>
            <w:shd w:val="clear" w:color="auto" w:fill="4F6B2A"/>
          </w:tcPr>
          <w:p>
            <w:pPr>
              <w:spacing w:before="0" w:after="0" w:line="252" w:lineRule="auto"/>
            </w:pPr>
            <w:r>
              <w:rPr>
                <w:b/>
                <w:color w:val="FFFFFF"/>
                <w:sz w:val="16"/>
              </w:rPr>
              <w:t>Documento comprovativo</w:t>
            </w:r>
          </w:p>
        </w:tc>
      </w:tr>
      <w:tr>
        <w:trPr>
          <w:cantSplit/>
        </w:trPr>
        <w:tc>
          <w:tcPr>
            <w:tcW w:type="dxa" w:w="3180"/>
          </w:tcPr>
          <w:p>
            <w:pPr>
              <w:spacing w:before="0" w:after="0" w:line="264" w:lineRule="auto"/>
            </w:pPr>
            <w:r>
              <w:rPr>
                <w:color w:val="14202B"/>
                <w:sz w:val="17"/>
              </w:rPr>
              <w:t>Resistência à penetração de raízes</w:t>
            </w:r>
          </w:p>
        </w:tc>
        <w:tc>
          <w:tcPr>
            <w:tcW w:type="dxa" w:w="2795"/>
          </w:tcPr>
          <w:p>
            <w:pPr>
              <w:spacing w:before="0" w:after="0" w:line="264" w:lineRule="auto"/>
            </w:pPr>
            <w:r>
              <w:rPr>
                <w:color w:val="14202B"/>
                <w:sz w:val="17"/>
              </w:rPr>
              <w:t>ensaiada, sem penetração</w:t>
            </w:r>
          </w:p>
        </w:tc>
        <w:tc>
          <w:tcPr>
            <w:tcW w:type="dxa" w:w="1638"/>
          </w:tcPr>
          <w:p>
            <w:pPr>
              <w:spacing w:before="0" w:after="0" w:line="264" w:lineRule="auto"/>
            </w:pPr>
            <w:r>
              <w:rPr>
                <w:color w:val="14202B"/>
                <w:sz w:val="17"/>
              </w:rPr>
              <w:t>EN 13948</w:t>
            </w:r>
          </w:p>
        </w:tc>
        <w:tc>
          <w:tcPr>
            <w:tcW w:type="dxa" w:w="2024"/>
          </w:tcPr>
          <w:p>
            <w:pPr>
              <w:spacing w:before="0" w:after="0" w:line="264" w:lineRule="auto"/>
            </w:pPr>
            <w:r>
              <w:rPr>
                <w:color w:val="14202B"/>
                <w:sz w:val="17"/>
              </w:rPr>
              <w:t>Relatório de ensaio</w:t>
            </w:r>
          </w:p>
        </w:tc>
      </w:tr>
      <w:tr>
        <w:trPr>
          <w:cantSplit/>
        </w:trPr>
        <w:tc>
          <w:tcPr>
            <w:tcW w:type="dxa" w:w="3180"/>
            <w:shd w:val="clear" w:color="auto" w:fill="F8F9F6"/>
          </w:tcPr>
          <w:p>
            <w:pPr>
              <w:spacing w:before="0" w:after="0" w:line="264" w:lineRule="auto"/>
            </w:pPr>
            <w:r>
              <w:rPr>
                <w:color w:val="14202B"/>
                <w:sz w:val="17"/>
              </w:rPr>
              <w:t>Resistência aos danos causados por raízes em coberturas</w:t>
            </w:r>
          </w:p>
        </w:tc>
        <w:tc>
          <w:tcPr>
            <w:tcW w:type="dxa" w:w="2795"/>
            <w:shd w:val="clear" w:color="auto" w:fill="F8F9F6"/>
          </w:tcPr>
          <w:p>
            <w:pPr>
              <w:spacing w:before="0" w:after="0" w:line="264" w:lineRule="auto"/>
            </w:pPr>
            <w:r>
              <w:rPr>
                <w:color w:val="14202B"/>
                <w:sz w:val="17"/>
              </w:rPr>
              <w:t>ensaiada</w:t>
            </w:r>
          </w:p>
        </w:tc>
        <w:tc>
          <w:tcPr>
            <w:tcW w:type="dxa" w:w="1638"/>
            <w:shd w:val="clear" w:color="auto" w:fill="F8F9F6"/>
          </w:tcPr>
          <w:p>
            <w:pPr>
              <w:spacing w:before="0" w:after="0" w:line="264" w:lineRule="auto"/>
            </w:pPr>
            <w:r>
              <w:rPr>
                <w:color w:val="14202B"/>
                <w:sz w:val="17"/>
              </w:rPr>
              <w:t>Diretrizes FLL (2018)</w:t>
            </w:r>
          </w:p>
        </w:tc>
        <w:tc>
          <w:tcPr>
            <w:tcW w:type="dxa" w:w="2024"/>
            <w:shd w:val="clear" w:color="auto" w:fill="F8F9F6"/>
          </w:tcPr>
          <w:p>
            <w:pPr>
              <w:spacing w:before="0" w:after="0" w:line="264" w:lineRule="auto"/>
            </w:pPr>
            <w:r>
              <w:rPr>
                <w:color w:val="14202B"/>
                <w:sz w:val="17"/>
              </w:rPr>
              <w:t>Relatório de ensaio</w:t>
            </w:r>
          </w:p>
        </w:tc>
      </w:tr>
      <w:tr>
        <w:trPr>
          <w:cantSplit/>
        </w:trPr>
        <w:tc>
          <w:tcPr>
            <w:tcW w:type="dxa" w:w="3180"/>
          </w:tcPr>
          <w:p>
            <w:pPr>
              <w:spacing w:before="0" w:after="0" w:line="264" w:lineRule="auto"/>
            </w:pPr>
            <w:r>
              <w:rPr>
                <w:color w:val="14202B"/>
                <w:sz w:val="17"/>
              </w:rPr>
              <w:t>Espessura</w:t>
            </w:r>
          </w:p>
        </w:tc>
        <w:tc>
          <w:tcPr>
            <w:tcW w:type="dxa" w:w="2795"/>
          </w:tcPr>
          <w:p>
            <w:pPr>
              <w:spacing w:before="0" w:after="0" w:line="264" w:lineRule="auto"/>
            </w:pPr>
            <w:r>
              <w:rPr>
                <w:color w:val="14202B"/>
                <w:sz w:val="17"/>
              </w:rPr>
              <w:t>≥ 0,8 mm</w:t>
            </w:r>
          </w:p>
        </w:tc>
        <w:tc>
          <w:tcPr>
            <w:tcW w:type="dxa" w:w="1638"/>
          </w:tcPr>
          <w:p>
            <w:pPr>
              <w:spacing w:before="0" w:after="0" w:line="264" w:lineRule="auto"/>
            </w:pPr>
            <w:r>
              <w:rPr>
                <w:color w:val="14202B"/>
                <w:sz w:val="17"/>
              </w:rPr>
              <w:t>—</w:t>
            </w:r>
          </w:p>
        </w:tc>
        <w:tc>
          <w:tcPr>
            <w:tcW w:type="dxa" w:w="2024"/>
          </w:tcPr>
          <w:p>
            <w:pPr>
              <w:spacing w:before="0" w:after="0" w:line="264" w:lineRule="auto"/>
            </w:pPr>
            <w:r>
              <w:rPr>
                <w:color w:val="14202B"/>
                <w:sz w:val="17"/>
              </w:rPr>
              <w:t>Ficha técnica do fabricante</w:t>
            </w:r>
          </w:p>
        </w:tc>
      </w:tr>
    </w:tbl>
    <w:p>
      <w:pPr>
        <w:spacing w:before="0" w:after="80" w:line="240" w:lineRule="auto"/>
      </w:pPr>
    </w:p>
    <w:p>
      <w:pPr>
        <w:spacing w:before="0" w:after="100" w:line="288" w:lineRule="auto"/>
      </w:pPr>
      <w:r>
        <w:rPr>
          <w:b/>
          <w:sz w:val="20"/>
        </w:rPr>
        <w:t>Equivalência.</w:t>
      </w:r>
      <w:r>
        <w:rPr>
          <w:sz w:val="20"/>
        </w:rPr>
        <w:t xml:space="preserve"> Admite-se produto equivalente desde que cada valor do quadro seja demonstrado pelo documento comprovativo indicado. Quando há norma de ensaio, o valor é medido segundo essa norma, em relatório de laboratório acreditado. A demonstração é feita antes da aprovação do material pela fiscalização.</w:t>
      </w:r>
    </w:p>
    <w:p>
      <w:pPr>
        <w:spacing w:before="0" w:after="100" w:line="288" w:lineRule="auto"/>
      </w:pPr>
      <w:r>
        <w:rPr>
          <w:b/>
          <w:sz w:val="20"/>
        </w:rPr>
        <w:t>Execução.</w:t>
      </w:r>
      <w:r>
        <w:rPr>
          <w:sz w:val="20"/>
        </w:rPr>
        <w:t xml:space="preserve"> Sobreposições soldadas ou coladas segundo as instruções do fabricante, sem pregas, e subida nos remates verticais até à cota de remate da impermeabilização.</w:t>
      </w:r>
    </w:p>
    <w:p>
      <w:pPr>
        <w:keepNext/>
        <w:spacing w:before="160" w:after="60" w:line="264" w:lineRule="auto"/>
      </w:pPr>
      <w:r>
        <w:rPr>
          <w:b/>
          <w:color w:val="14202B"/>
          <w:sz w:val="21"/>
        </w:rPr>
        <w:t>Artigo [n.º] · Sistema de drenagem com filtro, reserva de água e proteção</w:t>
      </w:r>
    </w:p>
    <w:p>
      <w:pPr>
        <w:keepNext/>
        <w:spacing w:before="80" w:after="40" w:line="264" w:lineRule="auto"/>
      </w:pPr>
      <w:r>
        <w:rPr>
          <w:b/>
          <w:i w:val="0"/>
          <w:color w:val="4F6B2A"/>
          <w:sz w:val="18"/>
        </w:rPr>
        <w:t>[Opção A · ND 4+1h, reserva de água de base]</w:t>
      </w:r>
    </w:p>
    <w:p>
      <w:pPr>
        <w:spacing w:before="0" w:after="100" w:line="288" w:lineRule="auto"/>
      </w:pPr>
      <w:r>
        <w:rPr>
          <w:b/>
          <w:sz w:val="20"/>
        </w:rPr>
        <w:t>Descrição.</w:t>
      </w:r>
      <w:r>
        <w:rPr>
          <w:sz w:val="20"/>
        </w:rPr>
        <w:t xml:space="preserve"> Fornecimento e colocação, sobre a impermeabilização ou a barreira antirraiz, de sistema de drenagem </w:t>
      </w:r>
      <w:r>
        <w:rPr>
          <w:b/>
          <w:sz w:val="20"/>
        </w:rPr>
        <w:t>ND 4+1h</w:t>
      </w:r>
      <w:r>
        <w:rPr>
          <w:sz w:val="20"/>
        </w:rPr>
        <w:t xml:space="preserve"> da Nophadrain, com filtro, drenagem, reserva de água e proteção num só produto: núcleo alveolar em HIPS com reserva de água de 4,3 l/m², filtro em geotêxtil de PP e altura de construção de 17 mm, ou equivalente previamente aprovado pela fiscalização, incluindo sobreposições, cortes, remates junto de ralos, caixas de inspeção e bordos.</w:t>
      </w:r>
    </w:p>
    <w:p>
      <w:pPr>
        <w:keepNext/>
        <w:spacing w:before="0" w:after="100" w:line="288" w:lineRule="auto"/>
      </w:pPr>
      <w:r>
        <w:rPr>
          <w:b/>
          <w:sz w:val="20"/>
        </w:rPr>
        <w:t>Quadro de desempenho exigido.</w:t>
      </w:r>
      <w:r>
        <w:rPr>
          <w:sz w:val="20"/>
        </w:rPr>
        <w:t xml:space="preserve"> O sistema de drenagem cumpre, no mínimo, os valores seguintes.</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180"/>
        <w:gridCol w:w="2795"/>
        <w:gridCol w:w="1638"/>
        <w:gridCol w:w="2024"/>
      </w:tblGrid>
      <w:tr>
        <w:trPr>
          <w:tblHeader w:val="true"/>
          <w:cantSplit/>
        </w:trPr>
        <w:tc>
          <w:tcPr>
            <w:tcW w:type="dxa" w:w="3180"/>
            <w:shd w:val="clear" w:color="auto" w:fill="4F6B2A"/>
          </w:tcPr>
          <w:p>
            <w:pPr>
              <w:spacing w:before="0" w:after="0" w:line="252" w:lineRule="auto"/>
            </w:pPr>
            <w:r>
              <w:rPr>
                <w:b/>
                <w:color w:val="FFFFFF"/>
                <w:sz w:val="16"/>
              </w:rPr>
              <w:t>Característica</w:t>
            </w:r>
          </w:p>
        </w:tc>
        <w:tc>
          <w:tcPr>
            <w:tcW w:type="dxa" w:w="2795"/>
            <w:shd w:val="clear" w:color="auto" w:fill="4F6B2A"/>
          </w:tcPr>
          <w:p>
            <w:pPr>
              <w:spacing w:before="0" w:after="0" w:line="252" w:lineRule="auto"/>
            </w:pPr>
            <w:r>
              <w:rPr>
                <w:b/>
                <w:color w:val="FFFFFF"/>
                <w:sz w:val="16"/>
              </w:rPr>
              <w:t>Valor exigido</w:t>
            </w:r>
          </w:p>
        </w:tc>
        <w:tc>
          <w:tcPr>
            <w:tcW w:type="dxa" w:w="1638"/>
            <w:shd w:val="clear" w:color="auto" w:fill="4F6B2A"/>
          </w:tcPr>
          <w:p>
            <w:pPr>
              <w:spacing w:before="0" w:after="0" w:line="252" w:lineRule="auto"/>
            </w:pPr>
            <w:r>
              <w:rPr>
                <w:b/>
                <w:color w:val="FFFFFF"/>
                <w:sz w:val="16"/>
              </w:rPr>
              <w:t>Norma de ensaio</w:t>
            </w:r>
          </w:p>
        </w:tc>
        <w:tc>
          <w:tcPr>
            <w:tcW w:type="dxa" w:w="2024"/>
            <w:shd w:val="clear" w:color="auto" w:fill="4F6B2A"/>
          </w:tcPr>
          <w:p>
            <w:pPr>
              <w:spacing w:before="0" w:after="0" w:line="252" w:lineRule="auto"/>
            </w:pPr>
            <w:r>
              <w:rPr>
                <w:b/>
                <w:color w:val="FFFFFF"/>
                <w:sz w:val="16"/>
              </w:rPr>
              <w:t>Documento comprovativo</w:t>
            </w:r>
          </w:p>
        </w:tc>
      </w:tr>
      <w:tr>
        <w:trPr>
          <w:cantSplit/>
        </w:trPr>
        <w:tc>
          <w:tcPr>
            <w:tcW w:type="dxa" w:w="3180"/>
          </w:tcPr>
          <w:p>
            <w:pPr>
              <w:spacing w:before="0" w:after="0" w:line="264" w:lineRule="auto"/>
            </w:pPr>
            <w:r>
              <w:rPr>
                <w:color w:val="14202B"/>
                <w:sz w:val="17"/>
              </w:rPr>
              <w:t>Marcação CE e declaração de desempenho</w:t>
            </w:r>
          </w:p>
        </w:tc>
        <w:tc>
          <w:tcPr>
            <w:tcW w:type="dxa" w:w="2795"/>
          </w:tcPr>
          <w:p>
            <w:pPr>
              <w:spacing w:before="0" w:after="0" w:line="264" w:lineRule="auto"/>
            </w:pPr>
            <w:r>
              <w:rPr>
                <w:color w:val="14202B"/>
                <w:sz w:val="17"/>
              </w:rPr>
              <w:t>obrigatórias</w:t>
            </w:r>
          </w:p>
        </w:tc>
        <w:tc>
          <w:tcPr>
            <w:tcW w:type="dxa" w:w="1638"/>
          </w:tcPr>
          <w:p>
            <w:pPr>
              <w:spacing w:before="0" w:after="0" w:line="264" w:lineRule="auto"/>
            </w:pPr>
            <w:r>
              <w:rPr>
                <w:color w:val="14202B"/>
                <w:sz w:val="17"/>
              </w:rPr>
              <w:t>EN 13252</w:t>
            </w:r>
          </w:p>
        </w:tc>
        <w:tc>
          <w:tcPr>
            <w:tcW w:type="dxa" w:w="2024"/>
          </w:tcPr>
          <w:p>
            <w:pPr>
              <w:spacing w:before="0" w:after="0" w:line="264" w:lineRule="auto"/>
            </w:pPr>
            <w:r>
              <w:rPr>
                <w:color w:val="14202B"/>
                <w:sz w:val="17"/>
              </w:rPr>
              <w:t>Declaração de desempenho</w:t>
            </w:r>
          </w:p>
        </w:tc>
      </w:tr>
      <w:tr>
        <w:trPr>
          <w:cantSplit/>
        </w:trPr>
        <w:tc>
          <w:tcPr>
            <w:tcW w:type="dxa" w:w="3180"/>
            <w:shd w:val="clear" w:color="auto" w:fill="F8F9F6"/>
          </w:tcPr>
          <w:p>
            <w:pPr>
              <w:spacing w:before="0" w:after="0" w:line="264" w:lineRule="auto"/>
            </w:pPr>
            <w:r>
              <w:rPr>
                <w:color w:val="14202B"/>
                <w:sz w:val="17"/>
              </w:rPr>
              <w:t>Resistência à compressão</w:t>
            </w:r>
          </w:p>
        </w:tc>
        <w:tc>
          <w:tcPr>
            <w:tcW w:type="dxa" w:w="2795"/>
            <w:shd w:val="clear" w:color="auto" w:fill="F8F9F6"/>
          </w:tcPr>
          <w:p>
            <w:pPr>
              <w:spacing w:before="0" w:after="0" w:line="264" w:lineRule="auto"/>
            </w:pPr>
            <w:r>
              <w:rPr>
                <w:color w:val="14202B"/>
                <w:sz w:val="17"/>
              </w:rPr>
              <w:t>≥ 600 kPa</w:t>
            </w:r>
          </w:p>
        </w:tc>
        <w:tc>
          <w:tcPr>
            <w:tcW w:type="dxa" w:w="1638"/>
            <w:shd w:val="clear" w:color="auto" w:fill="F8F9F6"/>
          </w:tcPr>
          <w:p>
            <w:pPr>
              <w:spacing w:before="0" w:after="0" w:line="264" w:lineRule="auto"/>
            </w:pPr>
            <w:r>
              <w:rPr>
                <w:color w:val="14202B"/>
                <w:sz w:val="17"/>
              </w:rPr>
              <w:t>EN ISO 25619-2</w:t>
            </w:r>
          </w:p>
        </w:tc>
        <w:tc>
          <w:tcPr>
            <w:tcW w:type="dxa" w:w="2024"/>
            <w:shd w:val="clear" w:color="auto" w:fill="F8F9F6"/>
          </w:tcPr>
          <w:p>
            <w:pPr>
              <w:spacing w:before="0" w:after="0" w:line="264" w:lineRule="auto"/>
            </w:pPr>
            <w:r>
              <w:rPr>
                <w:color w:val="14202B"/>
                <w:sz w:val="17"/>
              </w:rPr>
              <w:t>Declaração de desempenho (DoP4+1h-007) ou relatório de ensaio</w:t>
            </w:r>
          </w:p>
        </w:tc>
      </w:tr>
      <w:tr>
        <w:trPr>
          <w:cantSplit/>
        </w:trPr>
        <w:tc>
          <w:tcPr>
            <w:tcW w:type="dxa" w:w="3180"/>
          </w:tcPr>
          <w:p>
            <w:pPr>
              <w:spacing w:before="0" w:after="0" w:line="264" w:lineRule="auto"/>
            </w:pPr>
            <w:r>
              <w:rPr>
                <w:color w:val="14202B"/>
                <w:sz w:val="17"/>
              </w:rPr>
              <w:t>Capacidade de drenagem no plano, i = 1, a 20 kPa</w:t>
            </w:r>
          </w:p>
        </w:tc>
        <w:tc>
          <w:tcPr>
            <w:tcW w:type="dxa" w:w="2795"/>
          </w:tcPr>
          <w:p>
            <w:pPr>
              <w:spacing w:before="0" w:after="0" w:line="264" w:lineRule="auto"/>
            </w:pPr>
            <w:r>
              <w:rPr>
                <w:color w:val="14202B"/>
                <w:sz w:val="17"/>
              </w:rPr>
              <w:t>≥ 7,61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(DoP4+1h-007) ou relatório de ensaio</w:t>
            </w:r>
          </w:p>
        </w:tc>
      </w:tr>
      <w:tr>
        <w:trPr>
          <w:cantSplit/>
        </w:trPr>
        <w:tc>
          <w:tcPr>
            <w:tcW w:type="dxa" w:w="3180"/>
            <w:shd w:val="clear" w:color="auto" w:fill="F8F9F6"/>
          </w:tcPr>
          <w:p>
            <w:pPr>
              <w:spacing w:before="0" w:after="0" w:line="264" w:lineRule="auto"/>
            </w:pPr>
            <w:r>
              <w:rPr>
                <w:color w:val="14202B"/>
                <w:sz w:val="17"/>
              </w:rPr>
              <w:t>Capacidade de drenagem no plano, pendente de 2 %, ≤ 20 kPa (cobertura verde intensiva)</w:t>
            </w:r>
          </w:p>
        </w:tc>
        <w:tc>
          <w:tcPr>
            <w:tcW w:type="dxa" w:w="2795"/>
            <w:shd w:val="clear" w:color="auto" w:fill="F8F9F6"/>
          </w:tcPr>
          <w:p>
            <w:pPr>
              <w:spacing w:before="0" w:after="0" w:line="264" w:lineRule="auto"/>
            </w:pPr>
            <w:r>
              <w:rPr>
                <w:color w:val="14202B"/>
                <w:sz w:val="17"/>
              </w:rPr>
              <w:t>≥ 1,19 l/(s·m)</w:t>
            </w:r>
          </w:p>
        </w:tc>
        <w:tc>
          <w:tcPr>
            <w:tcW w:type="dxa" w:w="1638"/>
            <w:shd w:val="clear" w:color="auto" w:fill="F8F9F6"/>
          </w:tcPr>
          <w:p>
            <w:pPr>
              <w:spacing w:before="0" w:after="0" w:line="264" w:lineRule="auto"/>
            </w:pPr>
            <w:r>
              <w:rPr>
                <w:color w:val="14202B"/>
                <w:sz w:val="17"/>
              </w:rPr>
              <w:t>EN ISO 12958</w:t>
            </w:r>
          </w:p>
        </w:tc>
        <w:tc>
          <w:tcPr>
            <w:tcW w:type="dxa" w:w="2024"/>
            <w:shd w:val="clear" w:color="auto" w:fill="F8F9F6"/>
          </w:tcPr>
          <w:p>
            <w:pPr>
              <w:spacing w:before="0" w:after="0" w:line="264" w:lineRule="auto"/>
            </w:pPr>
            <w:r>
              <w:rPr>
                <w:color w:val="14202B"/>
                <w:sz w:val="17"/>
              </w:rPr>
              <w:t>Declaração de desempenho (DoP4+1h-007) ou relatório de ensaio</w:t>
            </w:r>
          </w:p>
        </w:tc>
      </w:tr>
      <w:tr>
        <w:trPr>
          <w:cantSplit/>
        </w:trPr>
        <w:tc>
          <w:tcPr>
            <w:tcW w:type="dxa" w:w="3180"/>
          </w:tcPr>
          <w:p>
            <w:pPr>
              <w:spacing w:before="0" w:after="0" w:line="264" w:lineRule="auto"/>
            </w:pPr>
            <w:r>
              <w:rPr>
                <w:color w:val="14202B"/>
                <w:sz w:val="17"/>
              </w:rPr>
              <w:t>Capacidade de drenagem no plano, com a pendente do projeto e a carga de uma cobertura semi-intensiva</w:t>
            </w:r>
          </w:p>
        </w:tc>
        <w:tc>
          <w:tcPr>
            <w:tcW w:type="dxa" w:w="2795"/>
          </w:tcPr>
          <w:p>
            <w:pPr>
              <w:spacing w:before="0" w:after="0" w:line="264" w:lineRule="auto"/>
            </w:pPr>
            <w:r>
              <w:rPr>
                <w:color w:val="14202B"/>
                <w:sz w:val="17"/>
              </w:rPr>
              <w:t>≥ [valor calculado]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(DoP4+1h-007) ou relatório de ensaio</w:t>
            </w:r>
          </w:p>
        </w:tc>
      </w:tr>
      <w:tr>
        <w:trPr>
          <w:cantSplit/>
        </w:trPr>
        <w:tc>
          <w:tcPr>
            <w:tcW w:type="dxa" w:w="3180"/>
            <w:shd w:val="clear" w:color="auto" w:fill="F8F9F6"/>
          </w:tcPr>
          <w:p>
            <w:pPr>
              <w:spacing w:before="0" w:after="0" w:line="264" w:lineRule="auto"/>
            </w:pPr>
            <w:r>
              <w:rPr>
                <w:color w:val="14202B"/>
                <w:sz w:val="17"/>
              </w:rPr>
              <w:t>Reserva de água nos alvéolos, acessível às raízes</w:t>
            </w:r>
          </w:p>
        </w:tc>
        <w:tc>
          <w:tcPr>
            <w:tcW w:type="dxa" w:w="2795"/>
            <w:shd w:val="clear" w:color="auto" w:fill="F8F9F6"/>
          </w:tcPr>
          <w:p>
            <w:pPr>
              <w:spacing w:before="0" w:after="0" w:line="264" w:lineRule="auto"/>
            </w:pPr>
            <w:r>
              <w:rPr>
                <w:color w:val="14202B"/>
                <w:sz w:val="17"/>
              </w:rPr>
              <w:t>≥ 4,3 l/m²</w:t>
            </w:r>
          </w:p>
        </w:tc>
        <w:tc>
          <w:tcPr>
            <w:tcW w:type="dxa" w:w="1638"/>
            <w:shd w:val="clear" w:color="auto" w:fill="F8F9F6"/>
          </w:tcPr>
          <w:p>
            <w:pPr>
              <w:spacing w:before="0" w:after="0" w:line="264" w:lineRule="auto"/>
            </w:pPr>
            <w:r>
              <w:rPr>
                <w:color w:val="14202B"/>
                <w:sz w:val="17"/>
              </w:rPr>
              <w:t>—</w:t>
            </w:r>
          </w:p>
        </w:tc>
        <w:tc>
          <w:tcPr>
            <w:tcW w:type="dxa" w:w="2024"/>
            <w:shd w:val="clear" w:color="auto" w:fill="F8F9F6"/>
          </w:tcPr>
          <w:p>
            <w:pPr>
              <w:spacing w:before="0" w:after="0" w:line="264" w:lineRule="auto"/>
            </w:pPr>
            <w:r>
              <w:rPr>
                <w:color w:val="14202B"/>
                <w:sz w:val="17"/>
              </w:rPr>
              <w:t>Ficha técnica do fabricante</w:t>
            </w:r>
          </w:p>
        </w:tc>
      </w:tr>
      <w:tr>
        <w:trPr>
          <w:cantSplit/>
        </w:trPr>
        <w:tc>
          <w:tcPr>
            <w:tcW w:type="dxa" w:w="3180"/>
          </w:tcPr>
          <w:p>
            <w:pPr>
              <w:spacing w:before="0" w:after="0" w:line="264" w:lineRule="auto"/>
            </w:pPr>
            <w:r>
              <w:rPr>
                <w:color w:val="14202B"/>
                <w:sz w:val="17"/>
              </w:rPr>
              <w:t>Abertura de filtração O</w:t>
            </w:r>
            <w:r>
              <w:rPr>
                <w:color w:val="14202B"/>
                <w:sz w:val="17"/>
                <w:vertAlign w:val="subscript"/>
              </w:rPr>
              <w:t>90</w:t>
            </w:r>
            <w:r>
              <w:rPr>
                <w:color w:val="14202B"/>
                <w:sz w:val="17"/>
              </w:rPr>
              <w:t xml:space="preserve"> do geotêxtil filtrante</w:t>
            </w:r>
          </w:p>
        </w:tc>
        <w:tc>
          <w:tcPr>
            <w:tcW w:type="dxa" w:w="2795"/>
          </w:tcPr>
          <w:p>
            <w:pPr>
              <w:spacing w:before="0" w:after="0" w:line="264" w:lineRule="auto"/>
            </w:pPr>
            <w:r>
              <w:rPr>
                <w:color w:val="14202B"/>
                <w:sz w:val="17"/>
              </w:rPr>
              <w:t>≤ 100 µm</w:t>
            </w:r>
          </w:p>
        </w:tc>
        <w:tc>
          <w:tcPr>
            <w:tcW w:type="dxa" w:w="1638"/>
          </w:tcPr>
          <w:p>
            <w:pPr>
              <w:spacing w:before="0" w:after="0" w:line="264" w:lineRule="auto"/>
            </w:pPr>
            <w:r>
              <w:rPr>
                <w:color w:val="14202B"/>
                <w:sz w:val="17"/>
              </w:rPr>
              <w:t>EN ISO 12956</w:t>
            </w:r>
          </w:p>
        </w:tc>
        <w:tc>
          <w:tcPr>
            <w:tcW w:type="dxa" w:w="2024"/>
          </w:tcPr>
          <w:p>
            <w:pPr>
              <w:spacing w:before="0" w:after="0" w:line="264" w:lineRule="auto"/>
            </w:pPr>
            <w:r>
              <w:rPr>
                <w:color w:val="14202B"/>
                <w:sz w:val="17"/>
              </w:rPr>
              <w:t>Declaração de desempenho (DoP4+1h-007) ou relatório de ensaio</w:t>
            </w:r>
          </w:p>
        </w:tc>
      </w:tr>
      <w:tr>
        <w:trPr>
          <w:cantSplit/>
        </w:trPr>
        <w:tc>
          <w:tcPr>
            <w:tcW w:type="dxa" w:w="3180"/>
            <w:shd w:val="clear" w:color="auto" w:fill="F8F9F6"/>
          </w:tcPr>
          <w:p>
            <w:pPr>
              <w:spacing w:before="0" w:after="0" w:line="264" w:lineRule="auto"/>
            </w:pPr>
            <w:r>
              <w:rPr>
                <w:color w:val="14202B"/>
                <w:sz w:val="17"/>
              </w:rPr>
              <w:t>Permeabilidade à água H</w:t>
            </w:r>
            <w:r>
              <w:rPr>
                <w:color w:val="14202B"/>
                <w:sz w:val="17"/>
                <w:vertAlign w:val="subscript"/>
              </w:rPr>
              <w:t>50</w:t>
            </w:r>
            <w:r>
              <w:rPr>
                <w:color w:val="14202B"/>
                <w:sz w:val="17"/>
              </w:rPr>
              <w:t xml:space="preserve"> do geotêxtil filtrante</w:t>
            </w:r>
          </w:p>
        </w:tc>
        <w:tc>
          <w:tcPr>
            <w:tcW w:type="dxa" w:w="2795"/>
            <w:shd w:val="clear" w:color="auto" w:fill="F8F9F6"/>
          </w:tcPr>
          <w:p>
            <w:pPr>
              <w:spacing w:before="0" w:after="0" w:line="264" w:lineRule="auto"/>
            </w:pPr>
            <w:r>
              <w:rPr>
                <w:color w:val="14202B"/>
                <w:sz w:val="17"/>
              </w:rPr>
              <w:t>≥ 95 mm/s</w:t>
            </w:r>
          </w:p>
        </w:tc>
        <w:tc>
          <w:tcPr>
            <w:tcW w:type="dxa" w:w="1638"/>
            <w:shd w:val="clear" w:color="auto" w:fill="F8F9F6"/>
          </w:tcPr>
          <w:p>
            <w:pPr>
              <w:spacing w:before="0" w:after="0" w:line="264" w:lineRule="auto"/>
            </w:pPr>
            <w:r>
              <w:rPr>
                <w:color w:val="14202B"/>
                <w:sz w:val="17"/>
              </w:rPr>
              <w:t>EN ISO 11058</w:t>
            </w:r>
          </w:p>
        </w:tc>
        <w:tc>
          <w:tcPr>
            <w:tcW w:type="dxa" w:w="2024"/>
            <w:shd w:val="clear" w:color="auto" w:fill="F8F9F6"/>
          </w:tcPr>
          <w:p>
            <w:pPr>
              <w:spacing w:before="0" w:after="0" w:line="264" w:lineRule="auto"/>
            </w:pPr>
            <w:r>
              <w:rPr>
                <w:color w:val="14202B"/>
                <w:sz w:val="17"/>
              </w:rPr>
              <w:t>Declaração de desempenho (DoP4+1h-007) ou relatório de ensaio</w:t>
            </w:r>
          </w:p>
        </w:tc>
      </w:tr>
      <w:tr>
        <w:trPr>
          <w:cantSplit/>
        </w:trPr>
        <w:tc>
          <w:tcPr>
            <w:tcW w:type="dxa" w:w="3180"/>
          </w:tcPr>
          <w:p>
            <w:pPr>
              <w:spacing w:before="0" w:after="0" w:line="264" w:lineRule="auto"/>
            </w:pPr>
            <w:r>
              <w:rPr>
                <w:color w:val="14202B"/>
                <w:sz w:val="17"/>
              </w:rPr>
              <w:t>Resistência ao punçoamento estático CBR do geotêxtil filtrante</w:t>
            </w:r>
          </w:p>
        </w:tc>
        <w:tc>
          <w:tcPr>
            <w:tcW w:type="dxa" w:w="2795"/>
          </w:tcPr>
          <w:p>
            <w:pPr>
              <w:spacing w:before="0" w:after="0" w:line="264" w:lineRule="auto"/>
            </w:pPr>
            <w:r>
              <w:rPr>
                <w:color w:val="14202B"/>
                <w:sz w:val="17"/>
              </w:rPr>
              <w:t>≥ 1,6 kN</w:t>
            </w:r>
          </w:p>
        </w:tc>
        <w:tc>
          <w:tcPr>
            <w:tcW w:type="dxa" w:w="1638"/>
          </w:tcPr>
          <w:p>
            <w:pPr>
              <w:spacing w:before="0" w:after="0" w:line="264" w:lineRule="auto"/>
            </w:pPr>
            <w:r>
              <w:rPr>
                <w:color w:val="14202B"/>
                <w:sz w:val="17"/>
              </w:rPr>
              <w:t>EN ISO 12236</w:t>
            </w:r>
          </w:p>
        </w:tc>
        <w:tc>
          <w:tcPr>
            <w:tcW w:type="dxa" w:w="2024"/>
          </w:tcPr>
          <w:p>
            <w:pPr>
              <w:spacing w:before="0" w:after="0" w:line="264" w:lineRule="auto"/>
            </w:pPr>
            <w:r>
              <w:rPr>
                <w:color w:val="14202B"/>
                <w:sz w:val="17"/>
              </w:rPr>
              <w:t>Declaração de desempenho (DoP4+1h-007) ou relatório de ensaio</w:t>
            </w:r>
          </w:p>
        </w:tc>
      </w:tr>
      <w:tr>
        <w:trPr>
          <w:cantSplit/>
        </w:trPr>
        <w:tc>
          <w:tcPr>
            <w:tcW w:type="dxa" w:w="3180"/>
            <w:shd w:val="clear" w:color="auto" w:fill="F8F9F6"/>
          </w:tcPr>
          <w:p>
            <w:pPr>
              <w:spacing w:before="0" w:after="0" w:line="264" w:lineRule="auto"/>
            </w:pPr>
            <w:r>
              <w:rPr>
                <w:color w:val="14202B"/>
                <w:sz w:val="17"/>
              </w:rPr>
              <w:t>Resistência à tração do geotêxtil filtrante (DM/DT)</w:t>
            </w:r>
          </w:p>
        </w:tc>
        <w:tc>
          <w:tcPr>
            <w:tcW w:type="dxa" w:w="2795"/>
            <w:shd w:val="clear" w:color="auto" w:fill="F8F9F6"/>
          </w:tcPr>
          <w:p>
            <w:pPr>
              <w:spacing w:before="0" w:after="0" w:line="264" w:lineRule="auto"/>
            </w:pPr>
            <w:r>
              <w:rPr>
                <w:color w:val="14202B"/>
                <w:sz w:val="17"/>
              </w:rPr>
              <w:t>≥ 9/10 kN/m</w:t>
            </w:r>
          </w:p>
        </w:tc>
        <w:tc>
          <w:tcPr>
            <w:tcW w:type="dxa" w:w="1638"/>
            <w:shd w:val="clear" w:color="auto" w:fill="F8F9F6"/>
          </w:tcPr>
          <w:p>
            <w:pPr>
              <w:spacing w:before="0" w:after="0" w:line="264" w:lineRule="auto"/>
            </w:pPr>
            <w:r>
              <w:rPr>
                <w:color w:val="14202B"/>
                <w:sz w:val="17"/>
              </w:rPr>
              <w:t>EN ISO 10319</w:t>
            </w:r>
          </w:p>
        </w:tc>
        <w:tc>
          <w:tcPr>
            <w:tcW w:type="dxa" w:w="2024"/>
            <w:shd w:val="clear" w:color="auto" w:fill="F8F9F6"/>
          </w:tcPr>
          <w:p>
            <w:pPr>
              <w:spacing w:before="0" w:after="0" w:line="264" w:lineRule="auto"/>
            </w:pPr>
            <w:r>
              <w:rPr>
                <w:color w:val="14202B"/>
                <w:sz w:val="17"/>
              </w:rPr>
              <w:t>Declaração de desempenho (DoP4+1h-007) ou relatório de ensaio</w:t>
            </w:r>
          </w:p>
        </w:tc>
      </w:tr>
    </w:tbl>
    <w:p>
      <w:pPr>
        <w:spacing w:before="0" w:after="80" w:line="240" w:lineRule="auto"/>
      </w:pPr>
    </w:p>
    <w:p>
      <w:pPr>
        <w:spacing w:before="0" w:after="100" w:line="288" w:lineRule="auto"/>
      </w:pPr>
      <w:r>
        <w:rPr>
          <w:b/>
          <w:sz w:val="20"/>
        </w:rPr>
        <w:t>Equivalência.</w:t>
      </w:r>
      <w:r>
        <w:rPr>
          <w:sz w:val="20"/>
        </w:rPr>
        <w:t xml:space="preserve"> Admite-se produto equivalente desde que cada valor do quadro seja demonstrado pelo documento comprovativo indicado. Quando há norma de ensaio, o valor é medido segundo essa norma, em relatório de laboratório acreditado. A demonstração é feita antes da aprovação do material pela fiscalização.</w:t>
      </w:r>
    </w:p>
    <w:p>
      <w:pPr>
        <w:keepNext/>
        <w:spacing w:before="80" w:after="40" w:line="264" w:lineRule="auto"/>
      </w:pPr>
      <w:r>
        <w:rPr>
          <w:b/>
          <w:i w:val="0"/>
          <w:color w:val="4F6B2A"/>
          <w:sz w:val="18"/>
        </w:rPr>
        <w:t>[Opção B · ND 5+1, pendente reduzida]</w:t>
      </w:r>
    </w:p>
    <w:p>
      <w:pPr>
        <w:spacing w:before="0" w:after="100" w:line="288" w:lineRule="auto"/>
      </w:pPr>
      <w:r>
        <w:rPr>
          <w:b/>
          <w:sz w:val="20"/>
        </w:rPr>
        <w:t>Descrição.</w:t>
      </w:r>
      <w:r>
        <w:rPr>
          <w:sz w:val="20"/>
        </w:rPr>
        <w:t xml:space="preserve"> Fornecimento e colocação, sobre a impermeabilização ou a barreira antirraiz, de sistema de drenagem </w:t>
      </w:r>
      <w:r>
        <w:rPr>
          <w:b/>
          <w:sz w:val="20"/>
        </w:rPr>
        <w:t>ND 5+1</w:t>
      </w:r>
      <w:r>
        <w:rPr>
          <w:sz w:val="20"/>
        </w:rPr>
        <w:t xml:space="preserve"> da Nophadrain, com filtro, drenagem, reserva de água e proteção num só produto: núcleo alveolar em HIPS com reserva de água de 5,8 l/m², filtro em geotêxtil de PP e altura de construção de 27,5 mm, ou equivalente previamente aprovado pela fiscalização, incluindo sobreposições, cortes, remates junto de ralos, caixas de inspeção e bordos.</w:t>
      </w:r>
    </w:p>
    <w:p>
      <w:pPr>
        <w:keepNext/>
        <w:spacing w:before="0" w:after="100" w:line="288" w:lineRule="auto"/>
      </w:pPr>
      <w:r>
        <w:rPr>
          <w:b/>
          <w:sz w:val="20"/>
        </w:rPr>
        <w:t>Quadro de desempenho exigido.</w:t>
      </w:r>
      <w:r>
        <w:rPr>
          <w:sz w:val="20"/>
        </w:rPr>
        <w:t xml:space="preserve"> O sistema de drenagem cumpre, no mínimo, os valores seguintes.</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180"/>
        <w:gridCol w:w="2795"/>
        <w:gridCol w:w="1638"/>
        <w:gridCol w:w="2024"/>
      </w:tblGrid>
      <w:tr>
        <w:trPr>
          <w:tblHeader w:val="true"/>
          <w:cantSplit/>
        </w:trPr>
        <w:tc>
          <w:tcPr>
            <w:tcW w:type="dxa" w:w="3180"/>
            <w:shd w:val="clear" w:color="auto" w:fill="4F6B2A"/>
          </w:tcPr>
          <w:p>
            <w:pPr>
              <w:spacing w:before="0" w:after="0" w:line="252" w:lineRule="auto"/>
            </w:pPr>
            <w:r>
              <w:rPr>
                <w:b/>
                <w:color w:val="FFFFFF"/>
                <w:sz w:val="16"/>
              </w:rPr>
              <w:t>Característica</w:t>
            </w:r>
          </w:p>
        </w:tc>
        <w:tc>
          <w:tcPr>
            <w:tcW w:type="dxa" w:w="2795"/>
            <w:shd w:val="clear" w:color="auto" w:fill="4F6B2A"/>
          </w:tcPr>
          <w:p>
            <w:pPr>
              <w:spacing w:before="0" w:after="0" w:line="252" w:lineRule="auto"/>
            </w:pPr>
            <w:r>
              <w:rPr>
                <w:b/>
                <w:color w:val="FFFFFF"/>
                <w:sz w:val="16"/>
              </w:rPr>
              <w:t>Valor exigido</w:t>
            </w:r>
          </w:p>
        </w:tc>
        <w:tc>
          <w:tcPr>
            <w:tcW w:type="dxa" w:w="1638"/>
            <w:shd w:val="clear" w:color="auto" w:fill="4F6B2A"/>
          </w:tcPr>
          <w:p>
            <w:pPr>
              <w:spacing w:before="0" w:after="0" w:line="252" w:lineRule="auto"/>
            </w:pPr>
            <w:r>
              <w:rPr>
                <w:b/>
                <w:color w:val="FFFFFF"/>
                <w:sz w:val="16"/>
              </w:rPr>
              <w:t>Norma de ensaio</w:t>
            </w:r>
          </w:p>
        </w:tc>
        <w:tc>
          <w:tcPr>
            <w:tcW w:type="dxa" w:w="2024"/>
            <w:shd w:val="clear" w:color="auto" w:fill="4F6B2A"/>
          </w:tcPr>
          <w:p>
            <w:pPr>
              <w:spacing w:before="0" w:after="0" w:line="252" w:lineRule="auto"/>
            </w:pPr>
            <w:r>
              <w:rPr>
                <w:b/>
                <w:color w:val="FFFFFF"/>
                <w:sz w:val="16"/>
              </w:rPr>
              <w:t>Documento comprovativo</w:t>
            </w:r>
          </w:p>
        </w:tc>
      </w:tr>
      <w:tr>
        <w:trPr>
          <w:cantSplit/>
        </w:trPr>
        <w:tc>
          <w:tcPr>
            <w:tcW w:type="dxa" w:w="3180"/>
          </w:tcPr>
          <w:p>
            <w:pPr>
              <w:spacing w:before="0" w:after="0" w:line="264" w:lineRule="auto"/>
            </w:pPr>
            <w:r>
              <w:rPr>
                <w:color w:val="14202B"/>
                <w:sz w:val="17"/>
              </w:rPr>
              <w:t>Marcação CE e declaração de desempenho</w:t>
            </w:r>
          </w:p>
        </w:tc>
        <w:tc>
          <w:tcPr>
            <w:tcW w:type="dxa" w:w="2795"/>
          </w:tcPr>
          <w:p>
            <w:pPr>
              <w:spacing w:before="0" w:after="0" w:line="264" w:lineRule="auto"/>
            </w:pPr>
            <w:r>
              <w:rPr>
                <w:color w:val="14202B"/>
                <w:sz w:val="17"/>
              </w:rPr>
              <w:t>obrigatórias</w:t>
            </w:r>
          </w:p>
        </w:tc>
        <w:tc>
          <w:tcPr>
            <w:tcW w:type="dxa" w:w="1638"/>
          </w:tcPr>
          <w:p>
            <w:pPr>
              <w:spacing w:before="0" w:after="0" w:line="264" w:lineRule="auto"/>
            </w:pPr>
            <w:r>
              <w:rPr>
                <w:color w:val="14202B"/>
                <w:sz w:val="17"/>
              </w:rPr>
              <w:t>EN 13252</w:t>
            </w:r>
          </w:p>
        </w:tc>
        <w:tc>
          <w:tcPr>
            <w:tcW w:type="dxa" w:w="2024"/>
          </w:tcPr>
          <w:p>
            <w:pPr>
              <w:spacing w:before="0" w:after="0" w:line="264" w:lineRule="auto"/>
            </w:pPr>
            <w:r>
              <w:rPr>
                <w:color w:val="14202B"/>
                <w:sz w:val="17"/>
              </w:rPr>
              <w:t>Declaração de desempenho</w:t>
            </w:r>
          </w:p>
        </w:tc>
      </w:tr>
      <w:tr>
        <w:trPr>
          <w:cantSplit/>
        </w:trPr>
        <w:tc>
          <w:tcPr>
            <w:tcW w:type="dxa" w:w="3180"/>
            <w:shd w:val="clear" w:color="auto" w:fill="F8F9F6"/>
          </w:tcPr>
          <w:p>
            <w:pPr>
              <w:spacing w:before="0" w:after="0" w:line="264" w:lineRule="auto"/>
            </w:pPr>
            <w:r>
              <w:rPr>
                <w:color w:val="14202B"/>
                <w:sz w:val="17"/>
              </w:rPr>
              <w:t>Resistência à compressão</w:t>
            </w:r>
          </w:p>
        </w:tc>
        <w:tc>
          <w:tcPr>
            <w:tcW w:type="dxa" w:w="2795"/>
            <w:shd w:val="clear" w:color="auto" w:fill="F8F9F6"/>
          </w:tcPr>
          <w:p>
            <w:pPr>
              <w:spacing w:before="0" w:after="0" w:line="264" w:lineRule="auto"/>
            </w:pPr>
            <w:r>
              <w:rPr>
                <w:color w:val="14202B"/>
                <w:sz w:val="17"/>
              </w:rPr>
              <w:t>≥ 500 kPa</w:t>
            </w:r>
          </w:p>
        </w:tc>
        <w:tc>
          <w:tcPr>
            <w:tcW w:type="dxa" w:w="1638"/>
            <w:shd w:val="clear" w:color="auto" w:fill="F8F9F6"/>
          </w:tcPr>
          <w:p>
            <w:pPr>
              <w:spacing w:before="0" w:after="0" w:line="264" w:lineRule="auto"/>
            </w:pPr>
            <w:r>
              <w:rPr>
                <w:color w:val="14202B"/>
                <w:sz w:val="17"/>
              </w:rPr>
              <w:t>EN ISO 25619-2</w:t>
            </w:r>
          </w:p>
        </w:tc>
        <w:tc>
          <w:tcPr>
            <w:tcW w:type="dxa" w:w="2024"/>
            <w:shd w:val="clear" w:color="auto" w:fill="F8F9F6"/>
          </w:tcPr>
          <w:p>
            <w:pPr>
              <w:spacing w:before="0" w:after="0" w:line="264" w:lineRule="auto"/>
            </w:pPr>
            <w:r>
              <w:rPr>
                <w:color w:val="14202B"/>
                <w:sz w:val="17"/>
              </w:rPr>
              <w:t>Declaração de desempenho (DoP5+1-006) ou relatório de ensaio</w:t>
            </w:r>
          </w:p>
        </w:tc>
      </w:tr>
      <w:tr>
        <w:trPr>
          <w:cantSplit/>
        </w:trPr>
        <w:tc>
          <w:tcPr>
            <w:tcW w:type="dxa" w:w="3180"/>
          </w:tcPr>
          <w:p>
            <w:pPr>
              <w:spacing w:before="0" w:after="0" w:line="264" w:lineRule="auto"/>
            </w:pPr>
            <w:r>
              <w:rPr>
                <w:color w:val="14202B"/>
                <w:sz w:val="17"/>
              </w:rPr>
              <w:t>Capacidade de drenagem no plano, i = 1, a 20 kPa</w:t>
            </w:r>
          </w:p>
        </w:tc>
        <w:tc>
          <w:tcPr>
            <w:tcW w:type="dxa" w:w="2795"/>
          </w:tcPr>
          <w:p>
            <w:pPr>
              <w:spacing w:before="0" w:after="0" w:line="264" w:lineRule="auto"/>
            </w:pPr>
            <w:r>
              <w:rPr>
                <w:color w:val="14202B"/>
                <w:sz w:val="17"/>
              </w:rPr>
              <w:t>≥ 15,70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(DoP5+1-006) ou relatório de ensaio</w:t>
            </w:r>
          </w:p>
        </w:tc>
      </w:tr>
      <w:tr>
        <w:trPr>
          <w:cantSplit/>
        </w:trPr>
        <w:tc>
          <w:tcPr>
            <w:tcW w:type="dxa" w:w="3180"/>
            <w:shd w:val="clear" w:color="auto" w:fill="F8F9F6"/>
          </w:tcPr>
          <w:p>
            <w:pPr>
              <w:spacing w:before="0" w:after="0" w:line="264" w:lineRule="auto"/>
            </w:pPr>
            <w:r>
              <w:rPr>
                <w:color w:val="14202B"/>
                <w:sz w:val="17"/>
              </w:rPr>
              <w:t>Capacidade de drenagem no plano, pendente de 2 %, ≤ 20 kPa (cobertura verde intensiva)</w:t>
            </w:r>
          </w:p>
        </w:tc>
        <w:tc>
          <w:tcPr>
            <w:tcW w:type="dxa" w:w="2795"/>
            <w:shd w:val="clear" w:color="auto" w:fill="F8F9F6"/>
          </w:tcPr>
          <w:p>
            <w:pPr>
              <w:spacing w:before="0" w:after="0" w:line="264" w:lineRule="auto"/>
            </w:pPr>
            <w:r>
              <w:rPr>
                <w:color w:val="14202B"/>
                <w:sz w:val="17"/>
              </w:rPr>
              <w:t>≥ 2,14 l/(s·m)</w:t>
            </w:r>
          </w:p>
        </w:tc>
        <w:tc>
          <w:tcPr>
            <w:tcW w:type="dxa" w:w="1638"/>
            <w:shd w:val="clear" w:color="auto" w:fill="F8F9F6"/>
          </w:tcPr>
          <w:p>
            <w:pPr>
              <w:spacing w:before="0" w:after="0" w:line="264" w:lineRule="auto"/>
            </w:pPr>
            <w:r>
              <w:rPr>
                <w:color w:val="14202B"/>
                <w:sz w:val="17"/>
              </w:rPr>
              <w:t>EN ISO 12958</w:t>
            </w:r>
          </w:p>
        </w:tc>
        <w:tc>
          <w:tcPr>
            <w:tcW w:type="dxa" w:w="2024"/>
            <w:shd w:val="clear" w:color="auto" w:fill="F8F9F6"/>
          </w:tcPr>
          <w:p>
            <w:pPr>
              <w:spacing w:before="0" w:after="0" w:line="264" w:lineRule="auto"/>
            </w:pPr>
            <w:r>
              <w:rPr>
                <w:color w:val="14202B"/>
                <w:sz w:val="17"/>
              </w:rPr>
              <w:t>Declaração de desempenho (DoP5+1-006) ou relatório de ensaio</w:t>
            </w:r>
          </w:p>
        </w:tc>
      </w:tr>
      <w:tr>
        <w:trPr>
          <w:cantSplit/>
        </w:trPr>
        <w:tc>
          <w:tcPr>
            <w:tcW w:type="dxa" w:w="3180"/>
          </w:tcPr>
          <w:p>
            <w:pPr>
              <w:spacing w:before="0" w:after="0" w:line="264" w:lineRule="auto"/>
            </w:pPr>
            <w:r>
              <w:rPr>
                <w:color w:val="14202B"/>
                <w:sz w:val="17"/>
              </w:rPr>
              <w:t>Capacidade de drenagem no plano, com a pendente do projeto e a carga de uma cobertura semi-intensiva</w:t>
            </w:r>
          </w:p>
        </w:tc>
        <w:tc>
          <w:tcPr>
            <w:tcW w:type="dxa" w:w="2795"/>
          </w:tcPr>
          <w:p>
            <w:pPr>
              <w:spacing w:before="0" w:after="0" w:line="264" w:lineRule="auto"/>
            </w:pPr>
            <w:r>
              <w:rPr>
                <w:color w:val="14202B"/>
                <w:sz w:val="17"/>
              </w:rPr>
              <w:t>≥ [valor calculado]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(DoP5+1-006) ou relatório de ensaio</w:t>
            </w:r>
          </w:p>
        </w:tc>
      </w:tr>
      <w:tr>
        <w:trPr>
          <w:cantSplit/>
        </w:trPr>
        <w:tc>
          <w:tcPr>
            <w:tcW w:type="dxa" w:w="3180"/>
            <w:shd w:val="clear" w:color="auto" w:fill="F8F9F6"/>
          </w:tcPr>
          <w:p>
            <w:pPr>
              <w:spacing w:before="0" w:after="0" w:line="264" w:lineRule="auto"/>
            </w:pPr>
            <w:r>
              <w:rPr>
                <w:color w:val="14202B"/>
                <w:sz w:val="17"/>
              </w:rPr>
              <w:t>Reserva de água nos alvéolos, acessível às raízes</w:t>
            </w:r>
          </w:p>
        </w:tc>
        <w:tc>
          <w:tcPr>
            <w:tcW w:type="dxa" w:w="2795"/>
            <w:shd w:val="clear" w:color="auto" w:fill="F8F9F6"/>
          </w:tcPr>
          <w:p>
            <w:pPr>
              <w:spacing w:before="0" w:after="0" w:line="264" w:lineRule="auto"/>
            </w:pPr>
            <w:r>
              <w:rPr>
                <w:color w:val="14202B"/>
                <w:sz w:val="17"/>
              </w:rPr>
              <w:t>≥ 5,8 l/m²</w:t>
            </w:r>
          </w:p>
        </w:tc>
        <w:tc>
          <w:tcPr>
            <w:tcW w:type="dxa" w:w="1638"/>
            <w:shd w:val="clear" w:color="auto" w:fill="F8F9F6"/>
          </w:tcPr>
          <w:p>
            <w:pPr>
              <w:spacing w:before="0" w:after="0" w:line="264" w:lineRule="auto"/>
            </w:pPr>
            <w:r>
              <w:rPr>
                <w:color w:val="14202B"/>
                <w:sz w:val="17"/>
              </w:rPr>
              <w:t>—</w:t>
            </w:r>
          </w:p>
        </w:tc>
        <w:tc>
          <w:tcPr>
            <w:tcW w:type="dxa" w:w="2024"/>
            <w:shd w:val="clear" w:color="auto" w:fill="F8F9F6"/>
          </w:tcPr>
          <w:p>
            <w:pPr>
              <w:spacing w:before="0" w:after="0" w:line="264" w:lineRule="auto"/>
            </w:pPr>
            <w:r>
              <w:rPr>
                <w:color w:val="14202B"/>
                <w:sz w:val="17"/>
              </w:rPr>
              <w:t>Ficha técnica do fabricante</w:t>
            </w:r>
          </w:p>
        </w:tc>
      </w:tr>
      <w:tr>
        <w:trPr>
          <w:cantSplit/>
        </w:trPr>
        <w:tc>
          <w:tcPr>
            <w:tcW w:type="dxa" w:w="3180"/>
          </w:tcPr>
          <w:p>
            <w:pPr>
              <w:spacing w:before="0" w:after="0" w:line="264" w:lineRule="auto"/>
            </w:pPr>
            <w:r>
              <w:rPr>
                <w:color w:val="14202B"/>
                <w:sz w:val="17"/>
              </w:rPr>
              <w:t>Abertura de filtração O</w:t>
            </w:r>
            <w:r>
              <w:rPr>
                <w:color w:val="14202B"/>
                <w:sz w:val="17"/>
                <w:vertAlign w:val="subscript"/>
              </w:rPr>
              <w:t>90</w:t>
            </w:r>
            <w:r>
              <w:rPr>
                <w:color w:val="14202B"/>
                <w:sz w:val="17"/>
              </w:rPr>
              <w:t xml:space="preserve"> do geotêxtil filtrante</w:t>
            </w:r>
          </w:p>
        </w:tc>
        <w:tc>
          <w:tcPr>
            <w:tcW w:type="dxa" w:w="2795"/>
          </w:tcPr>
          <w:p>
            <w:pPr>
              <w:spacing w:before="0" w:after="0" w:line="264" w:lineRule="auto"/>
            </w:pPr>
            <w:r>
              <w:rPr>
                <w:color w:val="14202B"/>
                <w:sz w:val="17"/>
              </w:rPr>
              <w:t>≤ 100 µm</w:t>
            </w:r>
          </w:p>
        </w:tc>
        <w:tc>
          <w:tcPr>
            <w:tcW w:type="dxa" w:w="1638"/>
          </w:tcPr>
          <w:p>
            <w:pPr>
              <w:spacing w:before="0" w:after="0" w:line="264" w:lineRule="auto"/>
            </w:pPr>
            <w:r>
              <w:rPr>
                <w:color w:val="14202B"/>
                <w:sz w:val="17"/>
              </w:rPr>
              <w:t>EN ISO 12956</w:t>
            </w:r>
          </w:p>
        </w:tc>
        <w:tc>
          <w:tcPr>
            <w:tcW w:type="dxa" w:w="2024"/>
          </w:tcPr>
          <w:p>
            <w:pPr>
              <w:spacing w:before="0" w:after="0" w:line="264" w:lineRule="auto"/>
            </w:pPr>
            <w:r>
              <w:rPr>
                <w:color w:val="14202B"/>
                <w:sz w:val="17"/>
              </w:rPr>
              <w:t>Declaração de desempenho (DoP5+1-006) ou relatório de ensaio</w:t>
            </w:r>
          </w:p>
        </w:tc>
      </w:tr>
      <w:tr>
        <w:trPr>
          <w:cantSplit/>
        </w:trPr>
        <w:tc>
          <w:tcPr>
            <w:tcW w:type="dxa" w:w="3180"/>
            <w:shd w:val="clear" w:color="auto" w:fill="F8F9F6"/>
          </w:tcPr>
          <w:p>
            <w:pPr>
              <w:spacing w:before="0" w:after="0" w:line="264" w:lineRule="auto"/>
            </w:pPr>
            <w:r>
              <w:rPr>
                <w:color w:val="14202B"/>
                <w:sz w:val="17"/>
              </w:rPr>
              <w:t>Permeabilidade à água H</w:t>
            </w:r>
            <w:r>
              <w:rPr>
                <w:color w:val="14202B"/>
                <w:sz w:val="17"/>
                <w:vertAlign w:val="subscript"/>
              </w:rPr>
              <w:t>50</w:t>
            </w:r>
            <w:r>
              <w:rPr>
                <w:color w:val="14202B"/>
                <w:sz w:val="17"/>
              </w:rPr>
              <w:t xml:space="preserve"> do geotêxtil filtrante</w:t>
            </w:r>
          </w:p>
        </w:tc>
        <w:tc>
          <w:tcPr>
            <w:tcW w:type="dxa" w:w="2795"/>
            <w:shd w:val="clear" w:color="auto" w:fill="F8F9F6"/>
          </w:tcPr>
          <w:p>
            <w:pPr>
              <w:spacing w:before="0" w:after="0" w:line="264" w:lineRule="auto"/>
            </w:pPr>
            <w:r>
              <w:rPr>
                <w:color w:val="14202B"/>
                <w:sz w:val="17"/>
              </w:rPr>
              <w:t>≥ 95 mm/s</w:t>
            </w:r>
          </w:p>
        </w:tc>
        <w:tc>
          <w:tcPr>
            <w:tcW w:type="dxa" w:w="1638"/>
            <w:shd w:val="clear" w:color="auto" w:fill="F8F9F6"/>
          </w:tcPr>
          <w:p>
            <w:pPr>
              <w:spacing w:before="0" w:after="0" w:line="264" w:lineRule="auto"/>
            </w:pPr>
            <w:r>
              <w:rPr>
                <w:color w:val="14202B"/>
                <w:sz w:val="17"/>
              </w:rPr>
              <w:t>EN ISO 11058</w:t>
            </w:r>
          </w:p>
        </w:tc>
        <w:tc>
          <w:tcPr>
            <w:tcW w:type="dxa" w:w="2024"/>
            <w:shd w:val="clear" w:color="auto" w:fill="F8F9F6"/>
          </w:tcPr>
          <w:p>
            <w:pPr>
              <w:spacing w:before="0" w:after="0" w:line="264" w:lineRule="auto"/>
            </w:pPr>
            <w:r>
              <w:rPr>
                <w:color w:val="14202B"/>
                <w:sz w:val="17"/>
              </w:rPr>
              <w:t>Declaração de desempenho (DoP5+1-006) ou relatório de ensaio</w:t>
            </w:r>
          </w:p>
        </w:tc>
      </w:tr>
      <w:tr>
        <w:trPr>
          <w:cantSplit/>
        </w:trPr>
        <w:tc>
          <w:tcPr>
            <w:tcW w:type="dxa" w:w="3180"/>
          </w:tcPr>
          <w:p>
            <w:pPr>
              <w:spacing w:before="0" w:after="0" w:line="264" w:lineRule="auto"/>
            </w:pPr>
            <w:r>
              <w:rPr>
                <w:color w:val="14202B"/>
                <w:sz w:val="17"/>
              </w:rPr>
              <w:t>Resistência ao punçoamento estático CBR do geotêxtil filtrante</w:t>
            </w:r>
          </w:p>
        </w:tc>
        <w:tc>
          <w:tcPr>
            <w:tcW w:type="dxa" w:w="2795"/>
          </w:tcPr>
          <w:p>
            <w:pPr>
              <w:spacing w:before="0" w:after="0" w:line="264" w:lineRule="auto"/>
            </w:pPr>
            <w:r>
              <w:rPr>
                <w:color w:val="14202B"/>
                <w:sz w:val="17"/>
              </w:rPr>
              <w:t>≥ 1,6 kN</w:t>
            </w:r>
          </w:p>
        </w:tc>
        <w:tc>
          <w:tcPr>
            <w:tcW w:type="dxa" w:w="1638"/>
          </w:tcPr>
          <w:p>
            <w:pPr>
              <w:spacing w:before="0" w:after="0" w:line="264" w:lineRule="auto"/>
            </w:pPr>
            <w:r>
              <w:rPr>
                <w:color w:val="14202B"/>
                <w:sz w:val="17"/>
              </w:rPr>
              <w:t>EN ISO 12236</w:t>
            </w:r>
          </w:p>
        </w:tc>
        <w:tc>
          <w:tcPr>
            <w:tcW w:type="dxa" w:w="2024"/>
          </w:tcPr>
          <w:p>
            <w:pPr>
              <w:spacing w:before="0" w:after="0" w:line="264" w:lineRule="auto"/>
            </w:pPr>
            <w:r>
              <w:rPr>
                <w:color w:val="14202B"/>
                <w:sz w:val="17"/>
              </w:rPr>
              <w:t>Declaração de desempenho (DoP5+1-006) ou relatório de ensaio</w:t>
            </w:r>
          </w:p>
        </w:tc>
      </w:tr>
      <w:tr>
        <w:trPr>
          <w:cantSplit/>
        </w:trPr>
        <w:tc>
          <w:tcPr>
            <w:tcW w:type="dxa" w:w="3180"/>
            <w:shd w:val="clear" w:color="auto" w:fill="F8F9F6"/>
          </w:tcPr>
          <w:p>
            <w:pPr>
              <w:spacing w:before="0" w:after="0" w:line="264" w:lineRule="auto"/>
            </w:pPr>
            <w:r>
              <w:rPr>
                <w:color w:val="14202B"/>
                <w:sz w:val="17"/>
              </w:rPr>
              <w:t>Resistência à tração do geotêxtil filtrante (DM/DT)</w:t>
            </w:r>
          </w:p>
        </w:tc>
        <w:tc>
          <w:tcPr>
            <w:tcW w:type="dxa" w:w="2795"/>
            <w:shd w:val="clear" w:color="auto" w:fill="F8F9F6"/>
          </w:tcPr>
          <w:p>
            <w:pPr>
              <w:spacing w:before="0" w:after="0" w:line="264" w:lineRule="auto"/>
            </w:pPr>
            <w:r>
              <w:rPr>
                <w:color w:val="14202B"/>
                <w:sz w:val="17"/>
              </w:rPr>
              <w:t>≥ 9/10 kN/m</w:t>
            </w:r>
          </w:p>
        </w:tc>
        <w:tc>
          <w:tcPr>
            <w:tcW w:type="dxa" w:w="1638"/>
            <w:shd w:val="clear" w:color="auto" w:fill="F8F9F6"/>
          </w:tcPr>
          <w:p>
            <w:pPr>
              <w:spacing w:before="0" w:after="0" w:line="264" w:lineRule="auto"/>
            </w:pPr>
            <w:r>
              <w:rPr>
                <w:color w:val="14202B"/>
                <w:sz w:val="17"/>
              </w:rPr>
              <w:t>EN ISO 10319</w:t>
            </w:r>
          </w:p>
        </w:tc>
        <w:tc>
          <w:tcPr>
            <w:tcW w:type="dxa" w:w="2024"/>
            <w:shd w:val="clear" w:color="auto" w:fill="F8F9F6"/>
          </w:tcPr>
          <w:p>
            <w:pPr>
              <w:spacing w:before="0" w:after="0" w:line="264" w:lineRule="auto"/>
            </w:pPr>
            <w:r>
              <w:rPr>
                <w:color w:val="14202B"/>
                <w:sz w:val="17"/>
              </w:rPr>
              <w:t>Declaração de desempenho (DoP5+1-006) ou relatório de ensaio</w:t>
            </w:r>
          </w:p>
        </w:tc>
      </w:tr>
    </w:tbl>
    <w:p>
      <w:pPr>
        <w:spacing w:before="0" w:after="80" w:line="240" w:lineRule="auto"/>
      </w:pPr>
    </w:p>
    <w:p>
      <w:pPr>
        <w:spacing w:before="0" w:after="100" w:line="288" w:lineRule="auto"/>
      </w:pPr>
      <w:r>
        <w:rPr>
          <w:b/>
          <w:sz w:val="20"/>
        </w:rPr>
        <w:t>Equivalência.</w:t>
      </w:r>
      <w:r>
        <w:rPr>
          <w:sz w:val="20"/>
        </w:rPr>
        <w:t xml:space="preserve"> Admite-se produto equivalente desde que cada valor do quadro seja demonstrado pelo documento comprovativo indicado. Quando há norma de ensaio, o valor é medido segundo essa norma, em relatório de laboratório acreditado. A demonstração é feita antes da aprovação do material pela fiscalização.</w:t>
      </w:r>
    </w:p>
    <w:p>
      <w:pPr>
        <w:keepNext/>
        <w:spacing w:before="80" w:after="40" w:line="264" w:lineRule="auto"/>
      </w:pPr>
      <w:r>
        <w:rPr>
          <w:b/>
          <w:i w:val="0"/>
          <w:color w:val="4F6B2A"/>
          <w:sz w:val="18"/>
        </w:rPr>
        <w:t>[Opção C · ND 6+1v, maior reserva de água]</w:t>
      </w:r>
    </w:p>
    <w:p>
      <w:pPr>
        <w:spacing w:before="0" w:after="100" w:line="288" w:lineRule="auto"/>
      </w:pPr>
      <w:r>
        <w:rPr>
          <w:b/>
          <w:sz w:val="20"/>
        </w:rPr>
        <w:t>Descrição.</w:t>
      </w:r>
      <w:r>
        <w:rPr>
          <w:sz w:val="20"/>
        </w:rPr>
        <w:t xml:space="preserve"> Fornecimento e colocação, sobre a impermeabilização ou a barreira antirraiz, de sistema de drenagem </w:t>
      </w:r>
      <w:r>
        <w:rPr>
          <w:b/>
          <w:sz w:val="20"/>
        </w:rPr>
        <w:t>ND 6+1v</w:t>
      </w:r>
      <w:r>
        <w:rPr>
          <w:sz w:val="20"/>
        </w:rPr>
        <w:t xml:space="preserve"> da Nophadrain, com filtro, drenagem, reserva de água e proteção num só produto: núcleo alveolar em HIPS com reserva de água de 7,61 l/m², filtro em geotêxtil de PP/PE e altura de construção de 27 mm, ou equivalente previamente aprovado pela fiscalização, incluindo sobreposições, cortes, remates junto de ralos, caixas de inspeção e bordos.</w:t>
      </w:r>
    </w:p>
    <w:p>
      <w:pPr>
        <w:keepNext/>
        <w:spacing w:before="0" w:after="100" w:line="288" w:lineRule="auto"/>
      </w:pPr>
      <w:r>
        <w:rPr>
          <w:b/>
          <w:sz w:val="20"/>
        </w:rPr>
        <w:t>Quadro de desempenho exigido.</w:t>
      </w:r>
      <w:r>
        <w:rPr>
          <w:sz w:val="20"/>
        </w:rPr>
        <w:t xml:space="preserve"> O sistema de drenagem cumpre, no mínimo, os valores seguintes.</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180"/>
        <w:gridCol w:w="2795"/>
        <w:gridCol w:w="1638"/>
        <w:gridCol w:w="2024"/>
      </w:tblGrid>
      <w:tr>
        <w:trPr>
          <w:tblHeader w:val="true"/>
          <w:cantSplit/>
        </w:trPr>
        <w:tc>
          <w:tcPr>
            <w:tcW w:type="dxa" w:w="3180"/>
            <w:shd w:val="clear" w:color="auto" w:fill="4F6B2A"/>
          </w:tcPr>
          <w:p>
            <w:pPr>
              <w:spacing w:before="0" w:after="0" w:line="252" w:lineRule="auto"/>
            </w:pPr>
            <w:r>
              <w:rPr>
                <w:b/>
                <w:color w:val="FFFFFF"/>
                <w:sz w:val="16"/>
              </w:rPr>
              <w:t>Característica</w:t>
            </w:r>
          </w:p>
        </w:tc>
        <w:tc>
          <w:tcPr>
            <w:tcW w:type="dxa" w:w="2795"/>
            <w:shd w:val="clear" w:color="auto" w:fill="4F6B2A"/>
          </w:tcPr>
          <w:p>
            <w:pPr>
              <w:spacing w:before="0" w:after="0" w:line="252" w:lineRule="auto"/>
            </w:pPr>
            <w:r>
              <w:rPr>
                <w:b/>
                <w:color w:val="FFFFFF"/>
                <w:sz w:val="16"/>
              </w:rPr>
              <w:t>Valor exigido</w:t>
            </w:r>
          </w:p>
        </w:tc>
        <w:tc>
          <w:tcPr>
            <w:tcW w:type="dxa" w:w="1638"/>
            <w:shd w:val="clear" w:color="auto" w:fill="4F6B2A"/>
          </w:tcPr>
          <w:p>
            <w:pPr>
              <w:spacing w:before="0" w:after="0" w:line="252" w:lineRule="auto"/>
            </w:pPr>
            <w:r>
              <w:rPr>
                <w:b/>
                <w:color w:val="FFFFFF"/>
                <w:sz w:val="16"/>
              </w:rPr>
              <w:t>Norma de ensaio</w:t>
            </w:r>
          </w:p>
        </w:tc>
        <w:tc>
          <w:tcPr>
            <w:tcW w:type="dxa" w:w="2024"/>
            <w:shd w:val="clear" w:color="auto" w:fill="4F6B2A"/>
          </w:tcPr>
          <w:p>
            <w:pPr>
              <w:spacing w:before="0" w:after="0" w:line="252" w:lineRule="auto"/>
            </w:pPr>
            <w:r>
              <w:rPr>
                <w:b/>
                <w:color w:val="FFFFFF"/>
                <w:sz w:val="16"/>
              </w:rPr>
              <w:t>Documento comprovativo</w:t>
            </w:r>
          </w:p>
        </w:tc>
      </w:tr>
      <w:tr>
        <w:trPr>
          <w:cantSplit/>
        </w:trPr>
        <w:tc>
          <w:tcPr>
            <w:tcW w:type="dxa" w:w="3180"/>
          </w:tcPr>
          <w:p>
            <w:pPr>
              <w:spacing w:before="0" w:after="0" w:line="264" w:lineRule="auto"/>
            </w:pPr>
            <w:r>
              <w:rPr>
                <w:color w:val="14202B"/>
                <w:sz w:val="17"/>
              </w:rPr>
              <w:t>Marcação CE e declaração de desempenho</w:t>
            </w:r>
          </w:p>
        </w:tc>
        <w:tc>
          <w:tcPr>
            <w:tcW w:type="dxa" w:w="2795"/>
          </w:tcPr>
          <w:p>
            <w:pPr>
              <w:spacing w:before="0" w:after="0" w:line="264" w:lineRule="auto"/>
            </w:pPr>
            <w:r>
              <w:rPr>
                <w:color w:val="14202B"/>
                <w:sz w:val="17"/>
              </w:rPr>
              <w:t>obrigatórias</w:t>
            </w:r>
          </w:p>
        </w:tc>
        <w:tc>
          <w:tcPr>
            <w:tcW w:type="dxa" w:w="1638"/>
          </w:tcPr>
          <w:p>
            <w:pPr>
              <w:spacing w:before="0" w:after="0" w:line="264" w:lineRule="auto"/>
            </w:pPr>
            <w:r>
              <w:rPr>
                <w:color w:val="14202B"/>
                <w:sz w:val="17"/>
              </w:rPr>
              <w:t>EN 13252</w:t>
            </w:r>
          </w:p>
        </w:tc>
        <w:tc>
          <w:tcPr>
            <w:tcW w:type="dxa" w:w="2024"/>
          </w:tcPr>
          <w:p>
            <w:pPr>
              <w:spacing w:before="0" w:after="0" w:line="264" w:lineRule="auto"/>
            </w:pPr>
            <w:r>
              <w:rPr>
                <w:color w:val="14202B"/>
                <w:sz w:val="17"/>
              </w:rPr>
              <w:t>Declaração de desempenho</w:t>
            </w:r>
          </w:p>
        </w:tc>
      </w:tr>
      <w:tr>
        <w:trPr>
          <w:cantSplit/>
        </w:trPr>
        <w:tc>
          <w:tcPr>
            <w:tcW w:type="dxa" w:w="3180"/>
            <w:shd w:val="clear" w:color="auto" w:fill="F8F9F6"/>
          </w:tcPr>
          <w:p>
            <w:pPr>
              <w:spacing w:before="0" w:after="0" w:line="264" w:lineRule="auto"/>
            </w:pPr>
            <w:r>
              <w:rPr>
                <w:color w:val="14202B"/>
                <w:sz w:val="17"/>
              </w:rPr>
              <w:t>Resistência à compressão</w:t>
            </w:r>
          </w:p>
        </w:tc>
        <w:tc>
          <w:tcPr>
            <w:tcW w:type="dxa" w:w="2795"/>
            <w:shd w:val="clear" w:color="auto" w:fill="F8F9F6"/>
          </w:tcPr>
          <w:p>
            <w:pPr>
              <w:spacing w:before="0" w:after="0" w:line="264" w:lineRule="auto"/>
            </w:pPr>
            <w:r>
              <w:rPr>
                <w:color w:val="14202B"/>
                <w:sz w:val="17"/>
              </w:rPr>
              <w:t>≥ 300 kPa</w:t>
            </w:r>
          </w:p>
        </w:tc>
        <w:tc>
          <w:tcPr>
            <w:tcW w:type="dxa" w:w="1638"/>
            <w:shd w:val="clear" w:color="auto" w:fill="F8F9F6"/>
          </w:tcPr>
          <w:p>
            <w:pPr>
              <w:spacing w:before="0" w:after="0" w:line="264" w:lineRule="auto"/>
            </w:pPr>
            <w:r>
              <w:rPr>
                <w:color w:val="14202B"/>
                <w:sz w:val="17"/>
              </w:rPr>
              <w:t>EN ISO 25619-2</w:t>
            </w:r>
          </w:p>
        </w:tc>
        <w:tc>
          <w:tcPr>
            <w:tcW w:type="dxa" w:w="2024"/>
            <w:shd w:val="clear" w:color="auto" w:fill="F8F9F6"/>
          </w:tcPr>
          <w:p>
            <w:pPr>
              <w:spacing w:before="0" w:after="0" w:line="264" w:lineRule="auto"/>
            </w:pPr>
            <w:r>
              <w:rPr>
                <w:color w:val="14202B"/>
                <w:sz w:val="17"/>
              </w:rPr>
              <w:t>Declaração de desempenho (DoP6+1v-007) ou relatório de ensaio</w:t>
            </w:r>
          </w:p>
        </w:tc>
      </w:tr>
      <w:tr>
        <w:trPr>
          <w:cantSplit/>
        </w:trPr>
        <w:tc>
          <w:tcPr>
            <w:tcW w:type="dxa" w:w="3180"/>
          </w:tcPr>
          <w:p>
            <w:pPr>
              <w:spacing w:before="0" w:after="0" w:line="264" w:lineRule="auto"/>
            </w:pPr>
            <w:r>
              <w:rPr>
                <w:color w:val="14202B"/>
                <w:sz w:val="17"/>
              </w:rPr>
              <w:t>Capacidade de drenagem no plano, i = 1, a 20 kPa</w:t>
            </w:r>
          </w:p>
        </w:tc>
        <w:tc>
          <w:tcPr>
            <w:tcW w:type="dxa" w:w="2795"/>
          </w:tcPr>
          <w:p>
            <w:pPr>
              <w:spacing w:before="0" w:after="0" w:line="264" w:lineRule="auto"/>
            </w:pPr>
            <w:r>
              <w:rPr>
                <w:color w:val="14202B"/>
                <w:sz w:val="17"/>
              </w:rPr>
              <w:t>≥ 9,29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(DoP6+1v-007) ou relatório de ensaio</w:t>
            </w:r>
          </w:p>
        </w:tc>
      </w:tr>
      <w:tr>
        <w:trPr>
          <w:cantSplit/>
        </w:trPr>
        <w:tc>
          <w:tcPr>
            <w:tcW w:type="dxa" w:w="3180"/>
            <w:shd w:val="clear" w:color="auto" w:fill="F8F9F6"/>
          </w:tcPr>
          <w:p>
            <w:pPr>
              <w:spacing w:before="0" w:after="0" w:line="264" w:lineRule="auto"/>
            </w:pPr>
            <w:r>
              <w:rPr>
                <w:color w:val="14202B"/>
                <w:sz w:val="17"/>
              </w:rPr>
              <w:t>Capacidade de drenagem no plano, pendente de 2 %, ≤ 20 kPa (cobertura verde intensiva)</w:t>
            </w:r>
          </w:p>
        </w:tc>
        <w:tc>
          <w:tcPr>
            <w:tcW w:type="dxa" w:w="2795"/>
            <w:shd w:val="clear" w:color="auto" w:fill="F8F9F6"/>
          </w:tcPr>
          <w:p>
            <w:pPr>
              <w:spacing w:before="0" w:after="0" w:line="264" w:lineRule="auto"/>
            </w:pPr>
            <w:r>
              <w:rPr>
                <w:color w:val="14202B"/>
                <w:sz w:val="17"/>
              </w:rPr>
              <w:t>≥ 1,22 l/(s·m)</w:t>
            </w:r>
          </w:p>
        </w:tc>
        <w:tc>
          <w:tcPr>
            <w:tcW w:type="dxa" w:w="1638"/>
            <w:shd w:val="clear" w:color="auto" w:fill="F8F9F6"/>
          </w:tcPr>
          <w:p>
            <w:pPr>
              <w:spacing w:before="0" w:after="0" w:line="264" w:lineRule="auto"/>
            </w:pPr>
            <w:r>
              <w:rPr>
                <w:color w:val="14202B"/>
                <w:sz w:val="17"/>
              </w:rPr>
              <w:t>EN ISO 12958</w:t>
            </w:r>
          </w:p>
        </w:tc>
        <w:tc>
          <w:tcPr>
            <w:tcW w:type="dxa" w:w="2024"/>
            <w:shd w:val="clear" w:color="auto" w:fill="F8F9F6"/>
          </w:tcPr>
          <w:p>
            <w:pPr>
              <w:spacing w:before="0" w:after="0" w:line="264" w:lineRule="auto"/>
            </w:pPr>
            <w:r>
              <w:rPr>
                <w:color w:val="14202B"/>
                <w:sz w:val="17"/>
              </w:rPr>
              <w:t>Declaração de desempenho (DoP6+1v-007) ou relatório de ensaio</w:t>
            </w:r>
          </w:p>
        </w:tc>
      </w:tr>
      <w:tr>
        <w:trPr>
          <w:cantSplit/>
        </w:trPr>
        <w:tc>
          <w:tcPr>
            <w:tcW w:type="dxa" w:w="3180"/>
          </w:tcPr>
          <w:p>
            <w:pPr>
              <w:spacing w:before="0" w:after="0" w:line="264" w:lineRule="auto"/>
            </w:pPr>
            <w:r>
              <w:rPr>
                <w:color w:val="14202B"/>
                <w:sz w:val="17"/>
              </w:rPr>
              <w:t>Capacidade de drenagem no plano, com a pendente do projeto e a carga de uma cobertura semi-intensiva</w:t>
            </w:r>
          </w:p>
        </w:tc>
        <w:tc>
          <w:tcPr>
            <w:tcW w:type="dxa" w:w="2795"/>
          </w:tcPr>
          <w:p>
            <w:pPr>
              <w:spacing w:before="0" w:after="0" w:line="264" w:lineRule="auto"/>
            </w:pPr>
            <w:r>
              <w:rPr>
                <w:color w:val="14202B"/>
                <w:sz w:val="17"/>
              </w:rPr>
              <w:t>≥ [valor calculado]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(DoP6+1v-007) ou relatório de ensaio</w:t>
            </w:r>
          </w:p>
        </w:tc>
      </w:tr>
      <w:tr>
        <w:trPr>
          <w:cantSplit/>
        </w:trPr>
        <w:tc>
          <w:tcPr>
            <w:tcW w:type="dxa" w:w="3180"/>
            <w:shd w:val="clear" w:color="auto" w:fill="F8F9F6"/>
          </w:tcPr>
          <w:p>
            <w:pPr>
              <w:spacing w:before="0" w:after="0" w:line="264" w:lineRule="auto"/>
            </w:pPr>
            <w:r>
              <w:rPr>
                <w:color w:val="14202B"/>
                <w:sz w:val="17"/>
              </w:rPr>
              <w:t>Reserva de água nos alvéolos, acessível às raízes</w:t>
            </w:r>
          </w:p>
        </w:tc>
        <w:tc>
          <w:tcPr>
            <w:tcW w:type="dxa" w:w="2795"/>
            <w:shd w:val="clear" w:color="auto" w:fill="F8F9F6"/>
          </w:tcPr>
          <w:p>
            <w:pPr>
              <w:spacing w:before="0" w:after="0" w:line="264" w:lineRule="auto"/>
            </w:pPr>
            <w:r>
              <w:rPr>
                <w:color w:val="14202B"/>
                <w:sz w:val="17"/>
              </w:rPr>
              <w:t>≥ 7,61 l/m²</w:t>
            </w:r>
          </w:p>
        </w:tc>
        <w:tc>
          <w:tcPr>
            <w:tcW w:type="dxa" w:w="1638"/>
            <w:shd w:val="clear" w:color="auto" w:fill="F8F9F6"/>
          </w:tcPr>
          <w:p>
            <w:pPr>
              <w:spacing w:before="0" w:after="0" w:line="264" w:lineRule="auto"/>
            </w:pPr>
            <w:r>
              <w:rPr>
                <w:color w:val="14202B"/>
                <w:sz w:val="17"/>
              </w:rPr>
              <w:t>—</w:t>
            </w:r>
          </w:p>
        </w:tc>
        <w:tc>
          <w:tcPr>
            <w:tcW w:type="dxa" w:w="2024"/>
            <w:shd w:val="clear" w:color="auto" w:fill="F8F9F6"/>
          </w:tcPr>
          <w:p>
            <w:pPr>
              <w:spacing w:before="0" w:after="0" w:line="264" w:lineRule="auto"/>
            </w:pPr>
            <w:r>
              <w:rPr>
                <w:color w:val="14202B"/>
                <w:sz w:val="17"/>
              </w:rPr>
              <w:t>Ficha técnica do fabricante</w:t>
            </w:r>
          </w:p>
        </w:tc>
      </w:tr>
      <w:tr>
        <w:trPr>
          <w:cantSplit/>
        </w:trPr>
        <w:tc>
          <w:tcPr>
            <w:tcW w:type="dxa" w:w="3180"/>
          </w:tcPr>
          <w:p>
            <w:pPr>
              <w:spacing w:before="0" w:after="0" w:line="264" w:lineRule="auto"/>
            </w:pPr>
            <w:r>
              <w:rPr>
                <w:color w:val="14202B"/>
                <w:sz w:val="17"/>
              </w:rPr>
              <w:t>Abertura de filtração O</w:t>
            </w:r>
            <w:r>
              <w:rPr>
                <w:color w:val="14202B"/>
                <w:sz w:val="17"/>
                <w:vertAlign w:val="subscript"/>
              </w:rPr>
              <w:t>90</w:t>
            </w:r>
            <w:r>
              <w:rPr>
                <w:color w:val="14202B"/>
                <w:sz w:val="17"/>
              </w:rPr>
              <w:t xml:space="preserve"> do geotêxtil filtrante</w:t>
            </w:r>
          </w:p>
        </w:tc>
        <w:tc>
          <w:tcPr>
            <w:tcW w:type="dxa" w:w="2795"/>
          </w:tcPr>
          <w:p>
            <w:pPr>
              <w:spacing w:before="0" w:after="0" w:line="264" w:lineRule="auto"/>
            </w:pPr>
            <w:r>
              <w:rPr>
                <w:color w:val="14202B"/>
                <w:sz w:val="17"/>
              </w:rPr>
              <w:t>≤ 150 µm</w:t>
            </w:r>
          </w:p>
        </w:tc>
        <w:tc>
          <w:tcPr>
            <w:tcW w:type="dxa" w:w="1638"/>
          </w:tcPr>
          <w:p>
            <w:pPr>
              <w:spacing w:before="0" w:after="0" w:line="264" w:lineRule="auto"/>
            </w:pPr>
            <w:r>
              <w:rPr>
                <w:color w:val="14202B"/>
                <w:sz w:val="17"/>
              </w:rPr>
              <w:t>EN ISO 12956</w:t>
            </w:r>
          </w:p>
        </w:tc>
        <w:tc>
          <w:tcPr>
            <w:tcW w:type="dxa" w:w="2024"/>
          </w:tcPr>
          <w:p>
            <w:pPr>
              <w:spacing w:before="0" w:after="0" w:line="264" w:lineRule="auto"/>
            </w:pPr>
            <w:r>
              <w:rPr>
                <w:color w:val="14202B"/>
                <w:sz w:val="17"/>
              </w:rPr>
              <w:t>Declaração de desempenho (DoP6+1v-007) ou relatório de ensaio</w:t>
            </w:r>
          </w:p>
        </w:tc>
      </w:tr>
      <w:tr>
        <w:trPr>
          <w:cantSplit/>
        </w:trPr>
        <w:tc>
          <w:tcPr>
            <w:tcW w:type="dxa" w:w="3180"/>
            <w:shd w:val="clear" w:color="auto" w:fill="F8F9F6"/>
          </w:tcPr>
          <w:p>
            <w:pPr>
              <w:spacing w:before="0" w:after="0" w:line="264" w:lineRule="auto"/>
            </w:pPr>
            <w:r>
              <w:rPr>
                <w:color w:val="14202B"/>
                <w:sz w:val="17"/>
              </w:rPr>
              <w:t>Permeabilidade à água H</w:t>
            </w:r>
            <w:r>
              <w:rPr>
                <w:color w:val="14202B"/>
                <w:sz w:val="17"/>
                <w:vertAlign w:val="subscript"/>
              </w:rPr>
              <w:t>50</w:t>
            </w:r>
            <w:r>
              <w:rPr>
                <w:color w:val="14202B"/>
                <w:sz w:val="17"/>
              </w:rPr>
              <w:t xml:space="preserve"> do geotêxtil filtrante</w:t>
            </w:r>
          </w:p>
        </w:tc>
        <w:tc>
          <w:tcPr>
            <w:tcW w:type="dxa" w:w="2795"/>
            <w:shd w:val="clear" w:color="auto" w:fill="F8F9F6"/>
          </w:tcPr>
          <w:p>
            <w:pPr>
              <w:spacing w:before="0" w:after="0" w:line="264" w:lineRule="auto"/>
            </w:pPr>
            <w:r>
              <w:rPr>
                <w:color w:val="14202B"/>
                <w:sz w:val="17"/>
              </w:rPr>
              <w:t>≥ 100 mm/s</w:t>
            </w:r>
          </w:p>
        </w:tc>
        <w:tc>
          <w:tcPr>
            <w:tcW w:type="dxa" w:w="1638"/>
            <w:shd w:val="clear" w:color="auto" w:fill="F8F9F6"/>
          </w:tcPr>
          <w:p>
            <w:pPr>
              <w:spacing w:before="0" w:after="0" w:line="264" w:lineRule="auto"/>
            </w:pPr>
            <w:r>
              <w:rPr>
                <w:color w:val="14202B"/>
                <w:sz w:val="17"/>
              </w:rPr>
              <w:t>EN ISO 11058</w:t>
            </w:r>
          </w:p>
        </w:tc>
        <w:tc>
          <w:tcPr>
            <w:tcW w:type="dxa" w:w="2024"/>
            <w:shd w:val="clear" w:color="auto" w:fill="F8F9F6"/>
          </w:tcPr>
          <w:p>
            <w:pPr>
              <w:spacing w:before="0" w:after="0" w:line="264" w:lineRule="auto"/>
            </w:pPr>
            <w:r>
              <w:rPr>
                <w:color w:val="14202B"/>
                <w:sz w:val="17"/>
              </w:rPr>
              <w:t>Declaração de desempenho (DoP6+1v-007) ou relatório de ensaio</w:t>
            </w:r>
          </w:p>
        </w:tc>
      </w:tr>
      <w:tr>
        <w:trPr>
          <w:cantSplit/>
        </w:trPr>
        <w:tc>
          <w:tcPr>
            <w:tcW w:type="dxa" w:w="3180"/>
          </w:tcPr>
          <w:p>
            <w:pPr>
              <w:spacing w:before="0" w:after="0" w:line="264" w:lineRule="auto"/>
            </w:pPr>
            <w:r>
              <w:rPr>
                <w:color w:val="14202B"/>
                <w:sz w:val="17"/>
              </w:rPr>
              <w:t>Resistência ao punçoamento estático CBR do geotêxtil filtrante</w:t>
            </w:r>
          </w:p>
        </w:tc>
        <w:tc>
          <w:tcPr>
            <w:tcW w:type="dxa" w:w="2795"/>
          </w:tcPr>
          <w:p>
            <w:pPr>
              <w:spacing w:before="0" w:after="0" w:line="264" w:lineRule="auto"/>
            </w:pPr>
            <w:r>
              <w:rPr>
                <w:color w:val="14202B"/>
                <w:sz w:val="17"/>
              </w:rPr>
              <w:t>≥ 1,5 kN</w:t>
            </w:r>
          </w:p>
        </w:tc>
        <w:tc>
          <w:tcPr>
            <w:tcW w:type="dxa" w:w="1638"/>
          </w:tcPr>
          <w:p>
            <w:pPr>
              <w:spacing w:before="0" w:after="0" w:line="264" w:lineRule="auto"/>
            </w:pPr>
            <w:r>
              <w:rPr>
                <w:color w:val="14202B"/>
                <w:sz w:val="17"/>
              </w:rPr>
              <w:t>EN ISO 12236</w:t>
            </w:r>
          </w:p>
        </w:tc>
        <w:tc>
          <w:tcPr>
            <w:tcW w:type="dxa" w:w="2024"/>
          </w:tcPr>
          <w:p>
            <w:pPr>
              <w:spacing w:before="0" w:after="0" w:line="264" w:lineRule="auto"/>
            </w:pPr>
            <w:r>
              <w:rPr>
                <w:color w:val="14202B"/>
                <w:sz w:val="17"/>
              </w:rPr>
              <w:t>Declaração de desempenho (DoP6+1v-007) ou relatório de ensaio</w:t>
            </w:r>
          </w:p>
        </w:tc>
      </w:tr>
      <w:tr>
        <w:trPr>
          <w:cantSplit/>
        </w:trPr>
        <w:tc>
          <w:tcPr>
            <w:tcW w:type="dxa" w:w="3180"/>
            <w:shd w:val="clear" w:color="auto" w:fill="F8F9F6"/>
          </w:tcPr>
          <w:p>
            <w:pPr>
              <w:spacing w:before="0" w:after="0" w:line="264" w:lineRule="auto"/>
            </w:pPr>
            <w:r>
              <w:rPr>
                <w:color w:val="14202B"/>
                <w:sz w:val="17"/>
              </w:rPr>
              <w:t>Resistência à tração do geotêxtil filtrante (DM/DT)</w:t>
            </w:r>
          </w:p>
        </w:tc>
        <w:tc>
          <w:tcPr>
            <w:tcW w:type="dxa" w:w="2795"/>
            <w:shd w:val="clear" w:color="auto" w:fill="F8F9F6"/>
          </w:tcPr>
          <w:p>
            <w:pPr>
              <w:spacing w:before="0" w:after="0" w:line="264" w:lineRule="auto"/>
            </w:pPr>
            <w:r>
              <w:rPr>
                <w:color w:val="14202B"/>
                <w:sz w:val="17"/>
              </w:rPr>
              <w:t>≥ 8/8 kN/m</w:t>
            </w:r>
          </w:p>
        </w:tc>
        <w:tc>
          <w:tcPr>
            <w:tcW w:type="dxa" w:w="1638"/>
            <w:shd w:val="clear" w:color="auto" w:fill="F8F9F6"/>
          </w:tcPr>
          <w:p>
            <w:pPr>
              <w:spacing w:before="0" w:after="0" w:line="264" w:lineRule="auto"/>
            </w:pPr>
            <w:r>
              <w:rPr>
                <w:color w:val="14202B"/>
                <w:sz w:val="17"/>
              </w:rPr>
              <w:t>EN ISO 10319</w:t>
            </w:r>
          </w:p>
        </w:tc>
        <w:tc>
          <w:tcPr>
            <w:tcW w:type="dxa" w:w="2024"/>
            <w:shd w:val="clear" w:color="auto" w:fill="F8F9F6"/>
          </w:tcPr>
          <w:p>
            <w:pPr>
              <w:spacing w:before="0" w:after="0" w:line="264" w:lineRule="auto"/>
            </w:pPr>
            <w:r>
              <w:rPr>
                <w:color w:val="14202B"/>
                <w:sz w:val="17"/>
              </w:rPr>
              <w:t>Declaração de desempenho (DoP6+1v-007) ou relatório de ensaio</w:t>
            </w:r>
          </w:p>
        </w:tc>
      </w:tr>
    </w:tbl>
    <w:p>
      <w:pPr>
        <w:spacing w:before="0" w:after="80" w:line="240" w:lineRule="auto"/>
      </w:pPr>
    </w:p>
    <w:p>
      <w:pPr>
        <w:spacing w:before="0" w:after="100" w:line="288" w:lineRule="auto"/>
      </w:pPr>
      <w:r>
        <w:rPr>
          <w:b/>
          <w:sz w:val="20"/>
        </w:rPr>
        <w:t>Equivalência.</w:t>
      </w:r>
      <w:r>
        <w:rPr>
          <w:sz w:val="20"/>
        </w:rPr>
        <w:t xml:space="preserve"> Admite-se produto equivalente desde que cada valor do quadro seja demonstrado pelo documento comprovativo indicado. Quando há norma de ensaio, o valor é medido segundo essa norma, em relatório de laboratório acreditado. A demonstração é feita antes da aprovação do material pela fiscalização.</w:t>
      </w:r>
    </w:p>
    <w:p>
      <w:pPr>
        <w:keepNext/>
        <w:spacing w:before="160" w:after="60" w:line="264" w:lineRule="auto"/>
      </w:pPr>
      <w:r>
        <w:rPr>
          <w:b/>
          <w:color w:val="14202B"/>
          <w:sz w:val="21"/>
        </w:rPr>
        <w:t>Artigo [n.º] · Placa de reserva de água</w:t>
      </w:r>
    </w:p>
    <w:p>
      <w:pPr>
        <w:keepNext/>
        <w:spacing w:before="80" w:after="40" w:line="264" w:lineRule="auto"/>
      </w:pPr>
      <w:r>
        <w:rPr>
          <w:b/>
          <w:i w:val="0"/>
          <w:color w:val="4F6B2A"/>
          <w:sz w:val="18"/>
        </w:rPr>
        <w:t>[Opção · reserva de água adicional]</w:t>
      </w:r>
    </w:p>
    <w:p>
      <w:pPr>
        <w:spacing w:before="0" w:after="100" w:line="288" w:lineRule="auto"/>
      </w:pPr>
      <w:r>
        <w:rPr>
          <w:b/>
          <w:sz w:val="20"/>
        </w:rPr>
        <w:t>Descrição.</w:t>
      </w:r>
      <w:r>
        <w:rPr>
          <w:sz w:val="20"/>
        </w:rPr>
        <w:t xml:space="preserve"> Fornecimento e colocação de placas de reserva de água do tipo </w:t>
      </w:r>
      <w:r>
        <w:rPr>
          <w:b/>
          <w:sz w:val="20"/>
        </w:rPr>
        <w:t>ND WSM-50</w:t>
      </w:r>
      <w:r>
        <w:rPr>
          <w:sz w:val="20"/>
        </w:rPr>
        <w:t xml:space="preserve"> da Nophadrain, ou equivalente previamente aprovado pela fiscalização, em lã mineral hidrófila, com 50 mm de espessura, por cima do sistema de drenagem e sob o substrato.</w:t>
      </w:r>
    </w:p>
    <w:p>
      <w:pPr>
        <w:keepNext/>
        <w:spacing w:before="0" w:after="100" w:line="288" w:lineRule="auto"/>
      </w:pPr>
      <w:r>
        <w:rPr>
          <w:b/>
          <w:sz w:val="20"/>
        </w:rPr>
        <w:t>Quadro de desempenho exigido.</w:t>
      </w:r>
      <w:r>
        <w:rPr>
          <w:sz w:val="20"/>
        </w:rPr>
        <w:t xml:space="preserve"> A placa cumpre, no mínimo, os valores seguintes.</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180"/>
        <w:gridCol w:w="2795"/>
        <w:gridCol w:w="1638"/>
        <w:gridCol w:w="2024"/>
      </w:tblGrid>
      <w:tr>
        <w:trPr>
          <w:tblHeader w:val="true"/>
          <w:cantSplit/>
        </w:trPr>
        <w:tc>
          <w:tcPr>
            <w:tcW w:type="dxa" w:w="3180"/>
            <w:shd w:val="clear" w:color="auto" w:fill="4F6B2A"/>
          </w:tcPr>
          <w:p>
            <w:pPr>
              <w:spacing w:before="0" w:after="0" w:line="252" w:lineRule="auto"/>
            </w:pPr>
            <w:r>
              <w:rPr>
                <w:b/>
                <w:color w:val="FFFFFF"/>
                <w:sz w:val="16"/>
              </w:rPr>
              <w:t>Característica</w:t>
            </w:r>
          </w:p>
        </w:tc>
        <w:tc>
          <w:tcPr>
            <w:tcW w:type="dxa" w:w="2795"/>
            <w:shd w:val="clear" w:color="auto" w:fill="4F6B2A"/>
          </w:tcPr>
          <w:p>
            <w:pPr>
              <w:spacing w:before="0" w:after="0" w:line="252" w:lineRule="auto"/>
            </w:pPr>
            <w:r>
              <w:rPr>
                <w:b/>
                <w:color w:val="FFFFFF"/>
                <w:sz w:val="16"/>
              </w:rPr>
              <w:t>Valor exigido</w:t>
            </w:r>
          </w:p>
        </w:tc>
        <w:tc>
          <w:tcPr>
            <w:tcW w:type="dxa" w:w="1638"/>
            <w:shd w:val="clear" w:color="auto" w:fill="4F6B2A"/>
          </w:tcPr>
          <w:p>
            <w:pPr>
              <w:spacing w:before="0" w:after="0" w:line="252" w:lineRule="auto"/>
            </w:pPr>
            <w:r>
              <w:rPr>
                <w:b/>
                <w:color w:val="FFFFFF"/>
                <w:sz w:val="16"/>
              </w:rPr>
              <w:t>Norma de ensaio</w:t>
            </w:r>
          </w:p>
        </w:tc>
        <w:tc>
          <w:tcPr>
            <w:tcW w:type="dxa" w:w="2024"/>
            <w:shd w:val="clear" w:color="auto" w:fill="4F6B2A"/>
          </w:tcPr>
          <w:p>
            <w:pPr>
              <w:spacing w:before="0" w:after="0" w:line="252" w:lineRule="auto"/>
            </w:pPr>
            <w:r>
              <w:rPr>
                <w:b/>
                <w:color w:val="FFFFFF"/>
                <w:sz w:val="16"/>
              </w:rPr>
              <w:t>Documento comprovativo</w:t>
            </w:r>
          </w:p>
        </w:tc>
      </w:tr>
      <w:tr>
        <w:trPr>
          <w:cantSplit/>
        </w:trPr>
        <w:tc>
          <w:tcPr>
            <w:tcW w:type="dxa" w:w="3180"/>
          </w:tcPr>
          <w:p>
            <w:pPr>
              <w:spacing w:before="0" w:after="0" w:line="264" w:lineRule="auto"/>
            </w:pPr>
            <w:r>
              <w:rPr>
                <w:color w:val="14202B"/>
                <w:sz w:val="17"/>
              </w:rPr>
              <w:t>Água disponível para as plantas</w:t>
            </w:r>
          </w:p>
        </w:tc>
        <w:tc>
          <w:tcPr>
            <w:tcW w:type="dxa" w:w="2795"/>
          </w:tcPr>
          <w:p>
            <w:pPr>
              <w:spacing w:before="0" w:after="0" w:line="264" w:lineRule="auto"/>
            </w:pPr>
            <w:r>
              <w:rPr>
                <w:color w:val="14202B"/>
                <w:sz w:val="17"/>
              </w:rPr>
              <w:t>≥ 40 l/m²</w:t>
            </w:r>
          </w:p>
        </w:tc>
        <w:tc>
          <w:tcPr>
            <w:tcW w:type="dxa" w:w="1638"/>
          </w:tcPr>
          <w:p>
            <w:pPr>
              <w:spacing w:before="0" w:after="0" w:line="264" w:lineRule="auto"/>
            </w:pPr>
            <w:r>
              <w:rPr>
                <w:color w:val="14202B"/>
                <w:sz w:val="17"/>
              </w:rPr>
              <w:t>—</w:t>
            </w:r>
          </w:p>
        </w:tc>
        <w:tc>
          <w:tcPr>
            <w:tcW w:type="dxa" w:w="2024"/>
          </w:tcPr>
          <w:p>
            <w:pPr>
              <w:spacing w:before="0" w:after="0" w:line="264" w:lineRule="auto"/>
            </w:pPr>
            <w:r>
              <w:rPr>
                <w:color w:val="14202B"/>
                <w:sz w:val="17"/>
              </w:rPr>
              <w:t>Ficha técnica do fabricante</w:t>
            </w:r>
          </w:p>
        </w:tc>
      </w:tr>
      <w:tr>
        <w:trPr>
          <w:cantSplit/>
        </w:trPr>
        <w:tc>
          <w:tcPr>
            <w:tcW w:type="dxa" w:w="3180"/>
            <w:shd w:val="clear" w:color="auto" w:fill="F8F9F6"/>
          </w:tcPr>
          <w:p>
            <w:pPr>
              <w:spacing w:before="0" w:after="0" w:line="264" w:lineRule="auto"/>
            </w:pPr>
            <w:r>
              <w:rPr>
                <w:color w:val="14202B"/>
                <w:sz w:val="17"/>
              </w:rPr>
              <w:t>Massa volúmica</w:t>
            </w:r>
          </w:p>
        </w:tc>
        <w:tc>
          <w:tcPr>
            <w:tcW w:type="dxa" w:w="2795"/>
            <w:shd w:val="clear" w:color="auto" w:fill="F8F9F6"/>
          </w:tcPr>
          <w:p>
            <w:pPr>
              <w:spacing w:before="0" w:after="0" w:line="264" w:lineRule="auto"/>
            </w:pPr>
            <w:r>
              <w:rPr>
                <w:color w:val="14202B"/>
                <w:sz w:val="17"/>
              </w:rPr>
              <w:t>120 kg/m³</w:t>
            </w:r>
          </w:p>
        </w:tc>
        <w:tc>
          <w:tcPr>
            <w:tcW w:type="dxa" w:w="1638"/>
            <w:shd w:val="clear" w:color="auto" w:fill="F8F9F6"/>
          </w:tcPr>
          <w:p>
            <w:pPr>
              <w:spacing w:before="0" w:after="0" w:line="264" w:lineRule="auto"/>
            </w:pPr>
            <w:r>
              <w:rPr>
                <w:color w:val="14202B"/>
                <w:sz w:val="17"/>
              </w:rPr>
              <w:t>—</w:t>
            </w:r>
          </w:p>
        </w:tc>
        <w:tc>
          <w:tcPr>
            <w:tcW w:type="dxa" w:w="2024"/>
            <w:shd w:val="clear" w:color="auto" w:fill="F8F9F6"/>
          </w:tcPr>
          <w:p>
            <w:pPr>
              <w:spacing w:before="0" w:after="0" w:line="264" w:lineRule="auto"/>
            </w:pPr>
            <w:r>
              <w:rPr>
                <w:color w:val="14202B"/>
                <w:sz w:val="17"/>
              </w:rPr>
              <w:t>Ficha técnica do fabricante</w:t>
            </w:r>
          </w:p>
        </w:tc>
      </w:tr>
      <w:tr>
        <w:trPr>
          <w:cantSplit/>
        </w:trPr>
        <w:tc>
          <w:tcPr>
            <w:tcW w:type="dxa" w:w="3180"/>
          </w:tcPr>
          <w:p>
            <w:pPr>
              <w:spacing w:before="0" w:after="0" w:line="264" w:lineRule="auto"/>
            </w:pPr>
            <w:r>
              <w:rPr>
                <w:color w:val="14202B"/>
                <w:sz w:val="17"/>
              </w:rPr>
              <w:t>Peso saturado (valor considerado no cálculo das cargas)</w:t>
            </w:r>
          </w:p>
        </w:tc>
        <w:tc>
          <w:tcPr>
            <w:tcW w:type="dxa" w:w="2795"/>
          </w:tcPr>
          <w:p>
            <w:pPr>
              <w:spacing w:before="0" w:after="0" w:line="264" w:lineRule="auto"/>
            </w:pPr>
            <w:r>
              <w:rPr>
                <w:color w:val="14202B"/>
                <w:sz w:val="17"/>
              </w:rPr>
              <w:t>≤ 46 kg/m²</w:t>
            </w:r>
          </w:p>
        </w:tc>
        <w:tc>
          <w:tcPr>
            <w:tcW w:type="dxa" w:w="1638"/>
          </w:tcPr>
          <w:p>
            <w:pPr>
              <w:spacing w:before="0" w:after="0" w:line="264" w:lineRule="auto"/>
            </w:pPr>
            <w:r>
              <w:rPr>
                <w:color w:val="14202B"/>
                <w:sz w:val="17"/>
              </w:rPr>
              <w:t>—</w:t>
            </w:r>
          </w:p>
        </w:tc>
        <w:tc>
          <w:tcPr>
            <w:tcW w:type="dxa" w:w="2024"/>
          </w:tcPr>
          <w:p>
            <w:pPr>
              <w:spacing w:before="0" w:after="0" w:line="264" w:lineRule="auto"/>
            </w:pPr>
            <w:r>
              <w:rPr>
                <w:color w:val="14202B"/>
                <w:sz w:val="17"/>
              </w:rPr>
              <w:t>Ficha técnica do fabricante</w:t>
            </w:r>
          </w:p>
        </w:tc>
      </w:tr>
      <w:tr>
        <w:trPr>
          <w:cantSplit/>
        </w:trPr>
        <w:tc>
          <w:tcPr>
            <w:tcW w:type="dxa" w:w="3180"/>
            <w:shd w:val="clear" w:color="auto" w:fill="F8F9F6"/>
          </w:tcPr>
          <w:p>
            <w:pPr>
              <w:spacing w:before="0" w:after="0" w:line="264" w:lineRule="auto"/>
            </w:pPr>
            <w:r>
              <w:rPr>
                <w:color w:val="14202B"/>
                <w:sz w:val="17"/>
              </w:rPr>
              <w:t>Conformidade com a norma de produto de lã mineral</w:t>
            </w:r>
          </w:p>
        </w:tc>
        <w:tc>
          <w:tcPr>
            <w:tcW w:type="dxa" w:w="2795"/>
            <w:shd w:val="clear" w:color="auto" w:fill="F8F9F6"/>
          </w:tcPr>
          <w:p>
            <w:pPr>
              <w:spacing w:before="0" w:after="0" w:line="264" w:lineRule="auto"/>
            </w:pPr>
            <w:r>
              <w:rPr>
                <w:color w:val="14202B"/>
                <w:sz w:val="17"/>
              </w:rPr>
              <w:t>cumpre</w:t>
            </w:r>
          </w:p>
        </w:tc>
        <w:tc>
          <w:tcPr>
            <w:tcW w:type="dxa" w:w="1638"/>
            <w:shd w:val="clear" w:color="auto" w:fill="F8F9F6"/>
          </w:tcPr>
          <w:p>
            <w:pPr>
              <w:spacing w:before="0" w:after="0" w:line="264" w:lineRule="auto"/>
            </w:pPr>
            <w:r>
              <w:rPr>
                <w:color w:val="14202B"/>
                <w:sz w:val="17"/>
              </w:rPr>
              <w:t>EN 13162</w:t>
            </w:r>
          </w:p>
        </w:tc>
        <w:tc>
          <w:tcPr>
            <w:tcW w:type="dxa" w:w="2024"/>
            <w:shd w:val="clear" w:color="auto" w:fill="F8F9F6"/>
          </w:tcPr>
          <w:p>
            <w:pPr>
              <w:spacing w:before="0" w:after="0" w:line="264" w:lineRule="auto"/>
            </w:pPr>
            <w:r>
              <w:rPr>
                <w:color w:val="14202B"/>
                <w:sz w:val="17"/>
              </w:rPr>
              <w:t>Declaração de desempenho</w:t>
            </w:r>
          </w:p>
        </w:tc>
      </w:tr>
      <w:tr>
        <w:trPr>
          <w:cantSplit/>
        </w:trPr>
        <w:tc>
          <w:tcPr>
            <w:tcW w:type="dxa" w:w="3180"/>
          </w:tcPr>
          <w:p>
            <w:pPr>
              <w:spacing w:before="0" w:after="0" w:line="264" w:lineRule="auto"/>
            </w:pPr>
            <w:r>
              <w:rPr>
                <w:color w:val="14202B"/>
                <w:sz w:val="17"/>
              </w:rPr>
              <w:t>Reação ao fogo</w:t>
            </w:r>
          </w:p>
        </w:tc>
        <w:tc>
          <w:tcPr>
            <w:tcW w:type="dxa" w:w="2795"/>
          </w:tcPr>
          <w:p>
            <w:pPr>
              <w:spacing w:before="0" w:after="0" w:line="264" w:lineRule="auto"/>
            </w:pPr>
            <w:r>
              <w:rPr>
                <w:color w:val="14202B"/>
                <w:sz w:val="17"/>
              </w:rPr>
              <w:t>A1</w:t>
            </w:r>
          </w:p>
        </w:tc>
        <w:tc>
          <w:tcPr>
            <w:tcW w:type="dxa" w:w="1638"/>
          </w:tcPr>
          <w:p>
            <w:pPr>
              <w:spacing w:before="0" w:after="0" w:line="264" w:lineRule="auto"/>
            </w:pPr>
            <w:r>
              <w:rPr>
                <w:color w:val="14202B"/>
                <w:sz w:val="17"/>
              </w:rPr>
              <w:t>EN 13501-1</w:t>
            </w:r>
          </w:p>
        </w:tc>
        <w:tc>
          <w:tcPr>
            <w:tcW w:type="dxa" w:w="2024"/>
          </w:tcPr>
          <w:p>
            <w:pPr>
              <w:spacing w:before="0" w:after="0" w:line="264" w:lineRule="auto"/>
            </w:pPr>
            <w:r>
              <w:rPr>
                <w:color w:val="14202B"/>
                <w:sz w:val="17"/>
              </w:rPr>
              <w:t>Relatório de classificação</w:t>
            </w:r>
          </w:p>
        </w:tc>
      </w:tr>
    </w:tbl>
    <w:p>
      <w:pPr>
        <w:spacing w:before="0" w:after="80" w:line="240" w:lineRule="auto"/>
      </w:pPr>
    </w:p>
    <w:p>
      <w:pPr>
        <w:spacing w:before="0" w:after="100" w:line="288" w:lineRule="auto"/>
      </w:pPr>
      <w:r>
        <w:rPr>
          <w:b/>
          <w:sz w:val="20"/>
        </w:rPr>
        <w:t>Equivalência.</w:t>
      </w:r>
      <w:r>
        <w:rPr>
          <w:sz w:val="20"/>
        </w:rPr>
        <w:t xml:space="preserve"> Admite-se produto equivalente desde que cada valor do quadro seja demonstrado pelo documento comprovativo indicado. Quando há norma de ensaio, o valor é medido segundo essa norma, em relatório de laboratório acreditado. A demonstração é feita antes da aprovação do material pela fiscalização.</w:t>
      </w:r>
    </w:p>
    <w:p>
      <w:pPr>
        <w:keepNext/>
        <w:spacing w:before="160" w:after="60" w:line="264" w:lineRule="auto"/>
      </w:pPr>
      <w:r>
        <w:rPr>
          <w:b/>
          <w:color w:val="14202B"/>
          <w:sz w:val="21"/>
        </w:rPr>
        <w:t>Artigo [n.º] · Substrato intensivo</w:t>
      </w:r>
    </w:p>
    <w:p>
      <w:pPr>
        <w:spacing w:before="0" w:after="100" w:line="288" w:lineRule="auto"/>
      </w:pPr>
      <w:r>
        <w:rPr>
          <w:b/>
          <w:sz w:val="20"/>
        </w:rPr>
        <w:t>Descrição.</w:t>
      </w:r>
      <w:r>
        <w:rPr>
          <w:sz w:val="20"/>
        </w:rPr>
        <w:t xml:space="preserve"> Fornecimento e espalhamento de substrato intensivo do tipo </w:t>
      </w:r>
      <w:r>
        <w:rPr>
          <w:b/>
          <w:sz w:val="20"/>
        </w:rPr>
        <w:t>ND DGS-I</w:t>
      </w:r>
      <w:r>
        <w:rPr>
          <w:sz w:val="20"/>
        </w:rPr>
        <w:t xml:space="preserve"> da Nophadrain, ou equivalente previamente aprovado pela fiscalização, mistura de substrato mineral e orgânico, com [150 a 250] mm de espessura final, para vegetação semi-intensiva, conforme as peças desenhadas. A espessura indicada é a final: o substrato coloca-se com a sobre-espessura correspondente ao assentamento (cerca de 20 %).</w:t>
      </w:r>
    </w:p>
    <w:p>
      <w:pPr>
        <w:keepNext/>
        <w:spacing w:before="0" w:after="100" w:line="288" w:lineRule="auto"/>
      </w:pPr>
      <w:r>
        <w:rPr>
          <w:b/>
          <w:sz w:val="20"/>
        </w:rPr>
        <w:t>Quadro de desempenho exigido.</w:t>
      </w:r>
      <w:r>
        <w:rPr>
          <w:sz w:val="20"/>
        </w:rPr>
        <w:t xml:space="preserve"> O substrato cumpre, no mínimo, os valores seguintes.</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180"/>
        <w:gridCol w:w="2795"/>
        <w:gridCol w:w="1638"/>
        <w:gridCol w:w="2024"/>
      </w:tblGrid>
      <w:tr>
        <w:trPr>
          <w:tblHeader w:val="true"/>
          <w:cantSplit/>
        </w:trPr>
        <w:tc>
          <w:tcPr>
            <w:tcW w:type="dxa" w:w="3180"/>
            <w:shd w:val="clear" w:color="auto" w:fill="4F6B2A"/>
          </w:tcPr>
          <w:p>
            <w:pPr>
              <w:spacing w:before="0" w:after="0" w:line="252" w:lineRule="auto"/>
            </w:pPr>
            <w:r>
              <w:rPr>
                <w:b/>
                <w:color w:val="FFFFFF"/>
                <w:sz w:val="16"/>
              </w:rPr>
              <w:t>Característica</w:t>
            </w:r>
          </w:p>
        </w:tc>
        <w:tc>
          <w:tcPr>
            <w:tcW w:type="dxa" w:w="2795"/>
            <w:shd w:val="clear" w:color="auto" w:fill="4F6B2A"/>
          </w:tcPr>
          <w:p>
            <w:pPr>
              <w:spacing w:before="0" w:after="0" w:line="252" w:lineRule="auto"/>
            </w:pPr>
            <w:r>
              <w:rPr>
                <w:b/>
                <w:color w:val="FFFFFF"/>
                <w:sz w:val="16"/>
              </w:rPr>
              <w:t>Valor exigido</w:t>
            </w:r>
          </w:p>
        </w:tc>
        <w:tc>
          <w:tcPr>
            <w:tcW w:type="dxa" w:w="1638"/>
            <w:shd w:val="clear" w:color="auto" w:fill="4F6B2A"/>
          </w:tcPr>
          <w:p>
            <w:pPr>
              <w:spacing w:before="0" w:after="0" w:line="252" w:lineRule="auto"/>
            </w:pPr>
            <w:r>
              <w:rPr>
                <w:b/>
                <w:color w:val="FFFFFF"/>
                <w:sz w:val="16"/>
              </w:rPr>
              <w:t>Norma de ensaio</w:t>
            </w:r>
          </w:p>
        </w:tc>
        <w:tc>
          <w:tcPr>
            <w:tcW w:type="dxa" w:w="2024"/>
            <w:shd w:val="clear" w:color="auto" w:fill="4F6B2A"/>
          </w:tcPr>
          <w:p>
            <w:pPr>
              <w:spacing w:before="0" w:after="0" w:line="252" w:lineRule="auto"/>
            </w:pPr>
            <w:r>
              <w:rPr>
                <w:b/>
                <w:color w:val="FFFFFF"/>
                <w:sz w:val="16"/>
              </w:rPr>
              <w:t>Documento comprovativo</w:t>
            </w:r>
          </w:p>
        </w:tc>
      </w:tr>
      <w:tr>
        <w:trPr>
          <w:cantSplit/>
        </w:trPr>
        <w:tc>
          <w:tcPr>
            <w:tcW w:type="dxa" w:w="3180"/>
          </w:tcPr>
          <w:p>
            <w:pPr>
              <w:spacing w:before="0" w:after="0" w:line="264" w:lineRule="auto"/>
            </w:pPr>
            <w:r>
              <w:rPr>
                <w:color w:val="14202B"/>
                <w:sz w:val="17"/>
              </w:rPr>
              <w:t>Conformidade com as diretrizes FLL para substratos de coberturas verdes</w:t>
            </w:r>
          </w:p>
        </w:tc>
        <w:tc>
          <w:tcPr>
            <w:tcW w:type="dxa" w:w="2795"/>
          </w:tcPr>
          <w:p>
            <w:pPr>
              <w:spacing w:before="0" w:after="0" w:line="264" w:lineRule="auto"/>
            </w:pPr>
            <w:r>
              <w:rPr>
                <w:color w:val="14202B"/>
                <w:sz w:val="17"/>
              </w:rPr>
              <w:t>substrato intensivo</w:t>
            </w:r>
          </w:p>
        </w:tc>
        <w:tc>
          <w:tcPr>
            <w:tcW w:type="dxa" w:w="1638"/>
          </w:tcPr>
          <w:p>
            <w:pPr>
              <w:spacing w:before="0" w:after="0" w:line="264" w:lineRule="auto"/>
            </w:pPr>
            <w:r>
              <w:rPr>
                <w:color w:val="14202B"/>
                <w:sz w:val="17"/>
              </w:rPr>
              <w:t>Diretrizes FLL</w:t>
            </w:r>
          </w:p>
        </w:tc>
        <w:tc>
          <w:tcPr>
            <w:tcW w:type="dxa" w:w="2024"/>
          </w:tcPr>
          <w:p>
            <w:pPr>
              <w:spacing w:before="0" w:after="0" w:line="264" w:lineRule="auto"/>
            </w:pPr>
            <w:r>
              <w:rPr>
                <w:color w:val="14202B"/>
                <w:sz w:val="17"/>
              </w:rPr>
              <w:t>Relatório de ensaio</w:t>
            </w:r>
          </w:p>
        </w:tc>
      </w:tr>
      <w:tr>
        <w:trPr>
          <w:cantSplit/>
        </w:trPr>
        <w:tc>
          <w:tcPr>
            <w:tcW w:type="dxa" w:w="3180"/>
            <w:shd w:val="clear" w:color="auto" w:fill="F8F9F6"/>
          </w:tcPr>
          <w:p>
            <w:pPr>
              <w:spacing w:before="0" w:after="0" w:line="264" w:lineRule="auto"/>
            </w:pPr>
            <w:r>
              <w:rPr>
                <w:color w:val="14202B"/>
                <w:sz w:val="17"/>
              </w:rPr>
              <w:t>Capacidade máxima de retenção de água</w:t>
            </w:r>
          </w:p>
        </w:tc>
        <w:tc>
          <w:tcPr>
            <w:tcW w:type="dxa" w:w="2795"/>
            <w:shd w:val="clear" w:color="auto" w:fill="F8F9F6"/>
          </w:tcPr>
          <w:p>
            <w:pPr>
              <w:spacing w:before="0" w:after="0" w:line="264" w:lineRule="auto"/>
            </w:pPr>
            <w:r>
              <w:rPr>
                <w:color w:val="14202B"/>
                <w:sz w:val="17"/>
              </w:rPr>
              <w:t>&gt; 44 % em volume</w:t>
            </w:r>
          </w:p>
        </w:tc>
        <w:tc>
          <w:tcPr>
            <w:tcW w:type="dxa" w:w="1638"/>
            <w:shd w:val="clear" w:color="auto" w:fill="F8F9F6"/>
          </w:tcPr>
          <w:p>
            <w:pPr>
              <w:spacing w:before="0" w:after="0" w:line="264" w:lineRule="auto"/>
            </w:pPr>
            <w:r>
              <w:rPr>
                <w:color w:val="14202B"/>
                <w:sz w:val="17"/>
              </w:rPr>
              <w:t>Diretrizes FLL</w:t>
            </w:r>
          </w:p>
        </w:tc>
        <w:tc>
          <w:tcPr>
            <w:tcW w:type="dxa" w:w="2024"/>
            <w:shd w:val="clear" w:color="auto" w:fill="F8F9F6"/>
          </w:tcPr>
          <w:p>
            <w:pPr>
              <w:spacing w:before="0" w:after="0" w:line="264" w:lineRule="auto"/>
            </w:pPr>
            <w:r>
              <w:rPr>
                <w:color w:val="14202B"/>
                <w:sz w:val="17"/>
              </w:rPr>
              <w:t>Relatório de ensaio</w:t>
            </w:r>
          </w:p>
        </w:tc>
      </w:tr>
      <w:tr>
        <w:trPr>
          <w:cantSplit/>
        </w:trPr>
        <w:tc>
          <w:tcPr>
            <w:tcW w:type="dxa" w:w="3180"/>
          </w:tcPr>
          <w:p>
            <w:pPr>
              <w:spacing w:before="0" w:after="0" w:line="264" w:lineRule="auto"/>
            </w:pPr>
            <w:r>
              <w:rPr>
                <w:color w:val="14202B"/>
                <w:sz w:val="17"/>
              </w:rPr>
              <w:t>Massa volúmica saturada (valor considerado no cálculo das cargas)</w:t>
            </w:r>
          </w:p>
        </w:tc>
        <w:tc>
          <w:tcPr>
            <w:tcW w:type="dxa" w:w="2795"/>
          </w:tcPr>
          <w:p>
            <w:pPr>
              <w:spacing w:before="0" w:after="0" w:line="264" w:lineRule="auto"/>
            </w:pPr>
            <w:r>
              <w:rPr>
                <w:color w:val="14202B"/>
                <w:sz w:val="17"/>
              </w:rPr>
              <w:t>[ ] t/m³ (referência da ficha técnica: cerca de 1,4 t/m³)</w:t>
            </w:r>
          </w:p>
        </w:tc>
        <w:tc>
          <w:tcPr>
            <w:tcW w:type="dxa" w:w="1638"/>
          </w:tcPr>
          <w:p>
            <w:pPr>
              <w:spacing w:before="0" w:after="0" w:line="264" w:lineRule="auto"/>
            </w:pPr>
            <w:r>
              <w:rPr>
                <w:color w:val="14202B"/>
                <w:sz w:val="17"/>
              </w:rPr>
              <w:t>—</w:t>
            </w:r>
          </w:p>
        </w:tc>
        <w:tc>
          <w:tcPr>
            <w:tcW w:type="dxa" w:w="2024"/>
          </w:tcPr>
          <w:p>
            <w:pPr>
              <w:spacing w:before="0" w:after="0" w:line="264" w:lineRule="auto"/>
            </w:pPr>
            <w:r>
              <w:rPr>
                <w:color w:val="14202B"/>
                <w:sz w:val="17"/>
              </w:rPr>
              <w:t>Ficha técnica do fabricante</w:t>
            </w:r>
          </w:p>
        </w:tc>
      </w:tr>
      <w:tr>
        <w:trPr>
          <w:cantSplit/>
        </w:trPr>
        <w:tc>
          <w:tcPr>
            <w:tcW w:type="dxa" w:w="3180"/>
            <w:shd w:val="clear" w:color="auto" w:fill="F8F9F6"/>
          </w:tcPr>
          <w:p>
            <w:pPr>
              <w:spacing w:before="0" w:after="0" w:line="264" w:lineRule="auto"/>
            </w:pPr>
            <w:r>
              <w:rPr>
                <w:color w:val="14202B"/>
                <w:sz w:val="17"/>
              </w:rPr>
              <w:t>Massa volúmica seca (valor considerado na estabilidade ao vento)</w:t>
            </w:r>
          </w:p>
        </w:tc>
        <w:tc>
          <w:tcPr>
            <w:tcW w:type="dxa" w:w="2795"/>
            <w:shd w:val="clear" w:color="auto" w:fill="F8F9F6"/>
          </w:tcPr>
          <w:p>
            <w:pPr>
              <w:spacing w:before="0" w:after="0" w:line="264" w:lineRule="auto"/>
            </w:pPr>
            <w:r>
              <w:rPr>
                <w:color w:val="14202B"/>
                <w:sz w:val="17"/>
              </w:rPr>
              <w:t>[ ] t/m³ (referência da ficha técnica: cerca de 0,95 t/m³)</w:t>
            </w:r>
          </w:p>
        </w:tc>
        <w:tc>
          <w:tcPr>
            <w:tcW w:type="dxa" w:w="1638"/>
            <w:shd w:val="clear" w:color="auto" w:fill="F8F9F6"/>
          </w:tcPr>
          <w:p>
            <w:pPr>
              <w:spacing w:before="0" w:after="0" w:line="264" w:lineRule="auto"/>
            </w:pPr>
            <w:r>
              <w:rPr>
                <w:color w:val="14202B"/>
                <w:sz w:val="17"/>
              </w:rPr>
              <w:t>—</w:t>
            </w:r>
          </w:p>
        </w:tc>
        <w:tc>
          <w:tcPr>
            <w:tcW w:type="dxa" w:w="2024"/>
            <w:shd w:val="clear" w:color="auto" w:fill="F8F9F6"/>
          </w:tcPr>
          <w:p>
            <w:pPr>
              <w:spacing w:before="0" w:after="0" w:line="264" w:lineRule="auto"/>
            </w:pPr>
            <w:r>
              <w:rPr>
                <w:color w:val="14202B"/>
                <w:sz w:val="17"/>
              </w:rPr>
              <w:t>Ficha técnica do fabricante</w:t>
            </w:r>
          </w:p>
        </w:tc>
      </w:tr>
      <w:tr>
        <w:trPr>
          <w:cantSplit/>
        </w:trPr>
        <w:tc>
          <w:tcPr>
            <w:tcW w:type="dxa" w:w="3180"/>
          </w:tcPr>
          <w:p>
            <w:pPr>
              <w:spacing w:before="0" w:after="0" w:line="264" w:lineRule="auto"/>
            </w:pPr>
            <w:r>
              <w:rPr>
                <w:color w:val="14202B"/>
                <w:sz w:val="17"/>
              </w:rPr>
              <w:t>Teor de matéria orgânica</w:t>
            </w:r>
          </w:p>
        </w:tc>
        <w:tc>
          <w:tcPr>
            <w:tcW w:type="dxa" w:w="2795"/>
          </w:tcPr>
          <w:p>
            <w:pPr>
              <w:spacing w:before="0" w:after="0" w:line="264" w:lineRule="auto"/>
            </w:pPr>
            <w:r>
              <w:rPr>
                <w:color w:val="14202B"/>
                <w:sz w:val="17"/>
              </w:rPr>
              <w:t>dentro dos limites das Diretrizes FLL para o tipo de substrato</w:t>
            </w:r>
          </w:p>
        </w:tc>
        <w:tc>
          <w:tcPr>
            <w:tcW w:type="dxa" w:w="1638"/>
          </w:tcPr>
          <w:p>
            <w:pPr>
              <w:spacing w:before="0" w:after="0" w:line="264" w:lineRule="auto"/>
            </w:pPr>
            <w:r>
              <w:rPr>
                <w:color w:val="14202B"/>
                <w:sz w:val="17"/>
              </w:rPr>
              <w:t>Diretrizes FLL</w:t>
            </w:r>
          </w:p>
        </w:tc>
        <w:tc>
          <w:tcPr>
            <w:tcW w:type="dxa" w:w="2024"/>
          </w:tcPr>
          <w:p>
            <w:pPr>
              <w:spacing w:before="0" w:after="0" w:line="264" w:lineRule="auto"/>
            </w:pPr>
            <w:r>
              <w:rPr>
                <w:color w:val="14202B"/>
                <w:sz w:val="17"/>
              </w:rPr>
              <w:t>Relatório de ensaio</w:t>
            </w:r>
          </w:p>
        </w:tc>
      </w:tr>
      <w:tr>
        <w:trPr>
          <w:cantSplit/>
        </w:trPr>
        <w:tc>
          <w:tcPr>
            <w:tcW w:type="dxa" w:w="3180"/>
            <w:shd w:val="clear" w:color="auto" w:fill="F8F9F6"/>
          </w:tcPr>
          <w:p>
            <w:pPr>
              <w:spacing w:before="0" w:after="0" w:line="264" w:lineRule="auto"/>
            </w:pPr>
            <w:r>
              <w:rPr>
                <w:color w:val="14202B"/>
                <w:sz w:val="17"/>
              </w:rPr>
              <w:t>Valor de pH</w:t>
            </w:r>
          </w:p>
        </w:tc>
        <w:tc>
          <w:tcPr>
            <w:tcW w:type="dxa" w:w="2795"/>
            <w:shd w:val="clear" w:color="auto" w:fill="F8F9F6"/>
          </w:tcPr>
          <w:p>
            <w:pPr>
              <w:spacing w:before="0" w:after="0" w:line="264" w:lineRule="auto"/>
            </w:pPr>
            <w:r>
              <w:rPr>
                <w:color w:val="14202B"/>
                <w:sz w:val="17"/>
              </w:rPr>
              <w:t>5 a 7,5</w:t>
            </w:r>
          </w:p>
        </w:tc>
        <w:tc>
          <w:tcPr>
            <w:tcW w:type="dxa" w:w="1638"/>
            <w:shd w:val="clear" w:color="auto" w:fill="F8F9F6"/>
          </w:tcPr>
          <w:p>
            <w:pPr>
              <w:spacing w:before="0" w:after="0" w:line="264" w:lineRule="auto"/>
            </w:pPr>
            <w:r>
              <w:rPr>
                <w:color w:val="14202B"/>
                <w:sz w:val="17"/>
              </w:rPr>
              <w:t>Diretrizes FLL</w:t>
            </w:r>
          </w:p>
        </w:tc>
        <w:tc>
          <w:tcPr>
            <w:tcW w:type="dxa" w:w="2024"/>
            <w:shd w:val="clear" w:color="auto" w:fill="F8F9F6"/>
          </w:tcPr>
          <w:p>
            <w:pPr>
              <w:spacing w:before="0" w:after="0" w:line="264" w:lineRule="auto"/>
            </w:pPr>
            <w:r>
              <w:rPr>
                <w:color w:val="14202B"/>
                <w:sz w:val="17"/>
              </w:rPr>
              <w:t>Relatório de ensaio</w:t>
            </w:r>
          </w:p>
        </w:tc>
      </w:tr>
      <w:tr>
        <w:trPr>
          <w:cantSplit/>
        </w:trPr>
        <w:tc>
          <w:tcPr>
            <w:tcW w:type="dxa" w:w="3180"/>
          </w:tcPr>
          <w:p>
            <w:pPr>
              <w:spacing w:before="0" w:after="0" w:line="264" w:lineRule="auto"/>
            </w:pPr>
            <w:r>
              <w:rPr>
                <w:color w:val="14202B"/>
                <w:sz w:val="17"/>
              </w:rPr>
              <w:t>Granulometria e permeabilidade à água</w:t>
            </w:r>
          </w:p>
        </w:tc>
        <w:tc>
          <w:tcPr>
            <w:tcW w:type="dxa" w:w="2795"/>
          </w:tcPr>
          <w:p>
            <w:pPr>
              <w:spacing w:before="0" w:after="0" w:line="264" w:lineRule="auto"/>
            </w:pPr>
            <w:r>
              <w:rPr>
                <w:color w:val="14202B"/>
                <w:sz w:val="17"/>
              </w:rPr>
              <w:t>dentro dos limites FLL para substrato intensivo</w:t>
            </w:r>
          </w:p>
        </w:tc>
        <w:tc>
          <w:tcPr>
            <w:tcW w:type="dxa" w:w="1638"/>
          </w:tcPr>
          <w:p>
            <w:pPr>
              <w:spacing w:before="0" w:after="0" w:line="264" w:lineRule="auto"/>
            </w:pPr>
            <w:r>
              <w:rPr>
                <w:color w:val="14202B"/>
                <w:sz w:val="17"/>
              </w:rPr>
              <w:t>Diretrizes FLL</w:t>
            </w:r>
          </w:p>
        </w:tc>
        <w:tc>
          <w:tcPr>
            <w:tcW w:type="dxa" w:w="2024"/>
          </w:tcPr>
          <w:p>
            <w:pPr>
              <w:spacing w:before="0" w:after="0" w:line="264" w:lineRule="auto"/>
            </w:pPr>
            <w:r>
              <w:rPr>
                <w:color w:val="14202B"/>
                <w:sz w:val="17"/>
              </w:rPr>
              <w:t>Relatório de ensaio</w:t>
            </w:r>
          </w:p>
        </w:tc>
      </w:tr>
    </w:tbl>
    <w:p>
      <w:pPr>
        <w:spacing w:before="0" w:after="80" w:line="240" w:lineRule="auto"/>
      </w:pPr>
    </w:p>
    <w:p>
      <w:pPr>
        <w:spacing w:before="0" w:after="100" w:line="288" w:lineRule="auto"/>
      </w:pPr>
      <w:r>
        <w:rPr>
          <w:b/>
          <w:sz w:val="20"/>
        </w:rPr>
        <w:t>Equivalência.</w:t>
      </w:r>
      <w:r>
        <w:rPr>
          <w:sz w:val="20"/>
        </w:rPr>
        <w:t xml:space="preserve"> Admite-se produto equivalente desde que cada valor do quadro seja demonstrado pelo documento comprovativo indicado. Quando há norma de ensaio, o valor é medido segundo essa norma, em relatório de laboratório acreditado. A demonstração é feita antes da aprovação do material pela fiscalização.</w:t>
      </w:r>
    </w:p>
    <w:p>
      <w:pPr>
        <w:spacing w:before="0" w:after="100" w:line="288" w:lineRule="auto"/>
      </w:pPr>
      <w:r>
        <w:rPr>
          <w:b/>
          <w:sz w:val="20"/>
        </w:rPr>
        <w:t>Execução.</w:t>
      </w:r>
      <w:r>
        <w:rPr>
          <w:sz w:val="20"/>
        </w:rPr>
        <w:t xml:space="preserve"> O substrato espalha-se a granel, por insuflação pneumática ou a partir de sacos, sem compactação mecânica e sem circulação de máquinas sobre as camadas inferiores. A espessura verifica-se em pontos marcados nas peças desenhadas.</w:t>
      </w:r>
    </w:p>
    <w:p>
      <w:pPr>
        <w:keepNext/>
        <w:spacing w:before="160" w:after="60" w:line="264" w:lineRule="auto"/>
      </w:pPr>
      <w:r>
        <w:rPr>
          <w:b/>
          <w:color w:val="14202B"/>
          <w:sz w:val="21"/>
        </w:rPr>
        <w:t>Artigo [n.º] · Rega gota a gota</w:t>
      </w:r>
    </w:p>
    <w:p>
      <w:pPr>
        <w:spacing w:before="0" w:after="100" w:line="288" w:lineRule="auto"/>
      </w:pPr>
      <w:r>
        <w:rPr>
          <w:b/>
          <w:sz w:val="20"/>
        </w:rPr>
        <w:t>Descrição.</w:t>
      </w:r>
      <w:r>
        <w:rPr>
          <w:sz w:val="20"/>
        </w:rPr>
        <w:t xml:space="preserve"> Sistema de rega gota a gota completo, com tubo gotejador autocompensante com válvula antirretorno na posição da opção adotada na memória descritiva, com as linhas junto de cada planta, programador, sensor de humidade do substrato, eletroválvulas por zona, filtro, redutor de pressão e ligação à rede ou à cisterna, conforme o projeto de rega. Caudal por gotejador: [ ] l/h; espaçamento: [ ] cm.</w:t>
      </w:r>
    </w:p>
    <w:p>
      <w:pPr>
        <w:keepNext/>
        <w:spacing w:before="160" w:after="60" w:line="264" w:lineRule="auto"/>
      </w:pPr>
      <w:r>
        <w:rPr>
          <w:b/>
          <w:color w:val="14202B"/>
          <w:sz w:val="21"/>
        </w:rPr>
        <w:t>Artigo [n.º] · Vegetação semi-intensiva</w:t>
      </w:r>
    </w:p>
    <w:p>
      <w:pPr>
        <w:spacing w:before="0" w:after="100" w:line="288" w:lineRule="auto"/>
      </w:pPr>
      <w:r>
        <w:rPr>
          <w:b/>
          <w:sz w:val="20"/>
        </w:rPr>
        <w:t>Descrição.</w:t>
      </w:r>
      <w:r>
        <w:rPr>
          <w:sz w:val="20"/>
        </w:rPr>
        <w:t xml:space="preserve"> Fornecimento e plantação de herbáceas vivazes, gramíneas, aromáticas e pequenos arbustos, plantados em alvéolos ou em vasos de 12 cm, na densidade de [ ] plantas/m², segundo o plano de plantação, incluindo rega de instalação e manutenção até à receção. Espécies: [lista de espécies do projeto]. A escolha das espécies tem em conta a zona climática do local, no Continente, na Madeira (litoral ou altitude) ou nos Açores, e a exposição ao sol e ao vento, com preferência por espécies autóctones ou mediterrânicas. O guia de plantas archiroof classifica as espécies recomendadas para cada uma destas zonas. Excluem-se as espécies das listas legais de espécies invasoras: Anexo II do Decreto-Lei n.º 92/2019 no Continente, Anexo II do Decreto Legislativo Regional n.º 17/2023/M na Região Autónoma da Madeira e Anexo IX do Decreto Legislativo Regional n.º 15/2012/A na Região Autónoma dos Açores.</w:t>
      </w:r>
    </w:p>
    <w:p>
      <w:pPr>
        <w:spacing w:before="0" w:after="100" w:line="288" w:lineRule="auto"/>
      </w:pPr>
      <w:r>
        <w:rPr>
          <w:b/>
          <w:sz w:val="20"/>
        </w:rPr>
        <w:t>Critério de aceitação.</w:t>
      </w:r>
      <w:r>
        <w:rPr>
          <w:sz w:val="20"/>
        </w:rPr>
        <w:t xml:space="preserve"> No fim do período de instalação, a taxa de sobrevivência das plantas é de pelo menos [ ] %, com reposição das plantas mortas a cargo do empreiteiro.</w:t>
      </w:r>
    </w:p>
    <w:p>
      <w:pPr>
        <w:keepNext/>
        <w:spacing w:before="160" w:after="60" w:line="264" w:lineRule="auto"/>
      </w:pPr>
      <w:r>
        <w:rPr>
          <w:b/>
          <w:color w:val="14202B"/>
          <w:sz w:val="21"/>
        </w:rPr>
        <w:t>Artigo [n.º] · Faixas sem vegetação, ralos e caixas de inspeção</w:t>
      </w:r>
    </w:p>
    <w:p>
      <w:pPr>
        <w:spacing w:before="0" w:after="100" w:line="288" w:lineRule="auto"/>
      </w:pPr>
      <w:r>
        <w:rPr>
          <w:b/>
          <w:sz w:val="20"/>
        </w:rPr>
        <w:t>Descrição.</w:t>
      </w:r>
      <w:r>
        <w:rPr>
          <w:sz w:val="20"/>
        </w:rPr>
        <w:t xml:space="preserve"> Faixas sem vegetação em seixo rolado (no mínimo 16/32) ou lajetas de betão junto dos ralos, das fachadas, dos bordos e dos atravessamentos, separadas do substrato por perfil de remate, e caixas de inspeção sobre os ralos, acessíveis e livres de vegetação. Larguras mínimas:</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5783"/>
        <w:gridCol w:w="3855"/>
      </w:tblGrid>
      <w:tr>
        <w:trPr>
          <w:tblHeader w:val="true"/>
          <w:cantSplit/>
        </w:trPr>
        <w:tc>
          <w:tcPr>
            <w:tcW w:type="dxa" w:w="5783"/>
            <w:shd w:val="clear" w:color="auto" w:fill="4F6B2A"/>
          </w:tcPr>
          <w:p>
            <w:pPr>
              <w:spacing w:before="0" w:after="0" w:line="252" w:lineRule="auto"/>
            </w:pPr>
            <w:r>
              <w:rPr>
                <w:b/>
                <w:color w:val="FFFFFF"/>
                <w:sz w:val="16"/>
              </w:rPr>
              <w:t>Pormenor</w:t>
            </w:r>
          </w:p>
        </w:tc>
        <w:tc>
          <w:tcPr>
            <w:tcW w:type="dxa" w:w="3855"/>
            <w:shd w:val="clear" w:color="auto" w:fill="4F6B2A"/>
          </w:tcPr>
          <w:p>
            <w:pPr>
              <w:spacing w:before="0" w:after="0" w:line="252" w:lineRule="auto"/>
            </w:pPr>
            <w:r>
              <w:rPr>
                <w:b/>
                <w:color w:val="FFFFFF"/>
                <w:sz w:val="16"/>
              </w:rPr>
              <w:t>Largura recomendada</w:t>
            </w:r>
          </w:p>
        </w:tc>
      </w:tr>
      <w:tr>
        <w:trPr>
          <w:cantSplit/>
        </w:trPr>
        <w:tc>
          <w:tcPr>
            <w:tcW w:type="dxa" w:w="5783"/>
          </w:tcPr>
          <w:p>
            <w:pPr>
              <w:spacing w:before="0" w:after="0" w:line="264" w:lineRule="auto"/>
            </w:pPr>
            <w:r>
              <w:rPr>
                <w:color w:val="14202B"/>
                <w:sz w:val="17"/>
              </w:rPr>
              <w:t>Ralo de cobertura</w:t>
            </w:r>
          </w:p>
        </w:tc>
        <w:tc>
          <w:tcPr>
            <w:tcW w:type="dxa" w:w="3855"/>
          </w:tcPr>
          <w:p>
            <w:pPr>
              <w:spacing w:before="0" w:after="0" w:line="264" w:lineRule="auto"/>
            </w:pPr>
            <w:r>
              <w:rPr>
                <w:color w:val="14202B"/>
                <w:sz w:val="17"/>
              </w:rPr>
              <w:t>≥ 300 mm em todo o contorno</w:t>
            </w:r>
          </w:p>
        </w:tc>
      </w:tr>
      <w:tr>
        <w:trPr>
          <w:cantSplit/>
        </w:trPr>
        <w:tc>
          <w:tcPr>
            <w:tcW w:type="dxa" w:w="5783"/>
            <w:shd w:val="clear" w:color="auto" w:fill="F8F9F6"/>
          </w:tcPr>
          <w:p>
            <w:pPr>
              <w:spacing w:before="0" w:after="0" w:line="264" w:lineRule="auto"/>
            </w:pPr>
            <w:r>
              <w:rPr>
                <w:color w:val="14202B"/>
                <w:sz w:val="17"/>
              </w:rPr>
              <w:t>Fachada</w:t>
            </w:r>
          </w:p>
        </w:tc>
        <w:tc>
          <w:tcPr>
            <w:tcW w:type="dxa" w:w="3855"/>
            <w:shd w:val="clear" w:color="auto" w:fill="F8F9F6"/>
          </w:tcPr>
          <w:p>
            <w:pPr>
              <w:spacing w:before="0" w:after="0" w:line="264" w:lineRule="auto"/>
            </w:pPr>
            <w:r>
              <w:rPr>
                <w:color w:val="14202B"/>
                <w:sz w:val="17"/>
              </w:rPr>
              <w:t>≥ 300 mm</w:t>
            </w:r>
          </w:p>
        </w:tc>
      </w:tr>
      <w:tr>
        <w:trPr>
          <w:cantSplit/>
        </w:trPr>
        <w:tc>
          <w:tcPr>
            <w:tcW w:type="dxa" w:w="5783"/>
          </w:tcPr>
          <w:p>
            <w:pPr>
              <w:spacing w:before="0" w:after="0" w:line="264" w:lineRule="auto"/>
            </w:pPr>
            <w:r>
              <w:rPr>
                <w:color w:val="14202B"/>
                <w:sz w:val="17"/>
              </w:rPr>
              <w:t>Bordo da cobertura</w:t>
            </w:r>
          </w:p>
        </w:tc>
        <w:tc>
          <w:tcPr>
            <w:tcW w:type="dxa" w:w="3855"/>
          </w:tcPr>
          <w:p>
            <w:pPr>
              <w:spacing w:before="0" w:after="0" w:line="264" w:lineRule="auto"/>
            </w:pPr>
            <w:r>
              <w:rPr>
                <w:color w:val="14202B"/>
                <w:sz w:val="17"/>
              </w:rPr>
              <w:t>≥ 300 mm</w:t>
            </w:r>
          </w:p>
        </w:tc>
      </w:tr>
      <w:tr>
        <w:trPr>
          <w:cantSplit/>
        </w:trPr>
        <w:tc>
          <w:tcPr>
            <w:tcW w:type="dxa" w:w="5783"/>
            <w:shd w:val="clear" w:color="auto" w:fill="F8F9F6"/>
          </w:tcPr>
          <w:p>
            <w:pPr>
              <w:spacing w:before="0" w:after="0" w:line="264" w:lineRule="auto"/>
            </w:pPr>
            <w:r>
              <w:rPr>
                <w:color w:val="14202B"/>
                <w:sz w:val="17"/>
              </w:rPr>
              <w:t>Atravessamento</w:t>
            </w:r>
          </w:p>
        </w:tc>
        <w:tc>
          <w:tcPr>
            <w:tcW w:type="dxa" w:w="3855"/>
            <w:shd w:val="clear" w:color="auto" w:fill="F8F9F6"/>
          </w:tcPr>
          <w:p>
            <w:pPr>
              <w:spacing w:before="0" w:after="0" w:line="264" w:lineRule="auto"/>
            </w:pPr>
            <w:r>
              <w:rPr>
                <w:color w:val="14202B"/>
                <w:sz w:val="17"/>
              </w:rPr>
              <w:t>≥ 300 mm</w:t>
            </w:r>
          </w:p>
        </w:tc>
      </w:tr>
    </w:tbl>
    <w:p>
      <w:pPr>
        <w:spacing w:before="0" w:after="80" w:line="240" w:lineRule="auto"/>
      </w:pPr>
    </w:p>
    <w:p>
      <w:pPr>
        <w:keepNext/>
        <w:spacing w:before="160" w:after="60" w:line="264" w:lineRule="auto"/>
      </w:pPr>
      <w:r>
        <w:rPr>
          <w:b/>
          <w:color w:val="14202B"/>
          <w:sz w:val="21"/>
        </w:rPr>
        <w:t>Disposições comuns</w:t>
      </w:r>
    </w:p>
    <w:p>
      <w:pPr>
        <w:spacing w:before="0" w:after="100" w:line="288" w:lineRule="auto"/>
      </w:pPr>
      <w:r>
        <w:rPr>
          <w:b/>
          <w:sz w:val="20"/>
        </w:rPr>
        <w:t>Execução.</w:t>
      </w:r>
      <w:r>
        <w:rPr>
          <w:sz w:val="20"/>
        </w:rPr>
        <w:t xml:space="preserve"> Os trabalhos seguem as instruções do fabricante e o Guia Técnico da ANCV. Os materiais armazenam-se protegidos e os produtos sintéticos ficam cobertos pelas camadas seguintes no prazo indicado na respetiva ficha técnica. Não se circula com cargas sobre as camadas já colocadas sem proteção.</w:t>
      </w:r>
    </w:p>
    <w:p>
      <w:pPr>
        <w:keepNext/>
        <w:spacing w:before="160" w:after="60" w:line="264" w:lineRule="auto"/>
      </w:pPr>
      <w:r>
        <w:rPr>
          <w:b/>
          <w:color w:val="14202B"/>
          <w:sz w:val="21"/>
        </w:rPr>
        <w:t>Ensaios e verificações</w:t>
      </w:r>
    </w:p>
    <w:p>
      <w:pPr>
        <w:pStyle w:val="ListBullet"/>
        <w:spacing w:before="0" w:after="40" w:line="276" w:lineRule="auto"/>
      </w:pPr>
      <w:r>
        <w:rPr>
          <w:sz w:val="20"/>
        </w:rPr>
        <w:t>Antes do substrato: verificação da continuidade do sistema de drenagem, das sobreposições, dos remates e da limpeza dos ralos e caixas de inspeção.</w:t>
      </w:r>
    </w:p>
    <w:p>
      <w:pPr>
        <w:pStyle w:val="ListBullet"/>
        <w:spacing w:before="0" w:after="40" w:line="276" w:lineRule="auto"/>
      </w:pPr>
      <w:r>
        <w:rPr>
          <w:sz w:val="20"/>
        </w:rPr>
        <w:t>Espessura final do substrato, medida nos pontos marcados nas peças desenhadas.</w:t>
      </w:r>
    </w:p>
    <w:p>
      <w:pPr>
        <w:pStyle w:val="ListBullet"/>
        <w:spacing w:before="0" w:after="40" w:line="276" w:lineRule="auto"/>
      </w:pPr>
      <w:r>
        <w:rPr>
          <w:sz w:val="20"/>
        </w:rPr>
        <w:t>Ensaio de funcionamento da rega por zona: pressão, débito, estanquidade das ligações e funcionamento do programador e do sensor de humidade.</w:t>
      </w:r>
    </w:p>
    <w:p>
      <w:pPr>
        <w:spacing w:before="0" w:after="100" w:line="288" w:lineRule="auto"/>
      </w:pPr>
      <w:r>
        <w:rPr>
          <w:b/>
          <w:sz w:val="20"/>
        </w:rPr>
        <w:t>Receção.</w:t>
      </w:r>
      <w:r>
        <w:rPr>
          <w:sz w:val="20"/>
        </w:rPr>
        <w:t xml:space="preserve"> Verificação, com a fiscalização, das camadas executadas, das guias de remessa e dos lotes de cada material, da cobertura vegetal, das faixas sem vegetação, dos ralos e das caixas de inspeção. A receção provisória da vegetação faz-se depois do período de instalação definido no projeto: [ ] meses.</w:t>
      </w:r>
    </w:p>
    <w:p>
      <w:pPr>
        <w:spacing w:before="0" w:after="100" w:line="288" w:lineRule="auto"/>
      </w:pPr>
      <w:r>
        <w:rPr>
          <w:b/>
          <w:sz w:val="20"/>
        </w:rPr>
        <w:t>Garantias.</w:t>
      </w:r>
      <w:r>
        <w:rPr>
          <w:sz w:val="20"/>
        </w:rPr>
        <w:t xml:space="preserve"> As do fabricante para os produtos; as do empreiteiro para a execução, nos termos legais. A garantia da vegetação fica condicionada à manutenção segundo o plano entregue.</w:t>
      </w:r>
    </w:p>
    <w:p>
      <w:pPr>
        <w:spacing w:before="0" w:after="100" w:line="288" w:lineRule="auto"/>
      </w:pPr>
      <w:r>
        <w:rPr>
          <w:b/>
          <w:sz w:val="20"/>
        </w:rPr>
        <w:t>Documentação.</w:t>
      </w:r>
      <w:r>
        <w:rPr>
          <w:sz w:val="20"/>
        </w:rPr>
        <w:t xml:space="preserve"> Fichas técnicas, declarações de desempenho dos sistemas de drenagem, relatórios de ensaio do substrato e da barreira antirraiz quando aplicada, telas finais da rega e plano de manutenção.</w:t>
      </w:r>
    </w:p>
    <w:p>
      <w:pPr>
        <w:keepNext/>
        <w:spacing w:before="280" w:after="100" w:line="252" w:lineRule="auto"/>
        <w:pBdr>
          <w:bottom w:val="single" w:sz="6" w:space="4" w:color="DFE4D9"/>
        </w:pBdr>
      </w:pPr>
      <w:r>
        <w:rPr>
          <w:b/>
          <w:color w:val="4F6B2A"/>
          <w:sz w:val="27"/>
        </w:rPr>
        <w:t>3. Mapa de quantidades</w:t>
      </w:r>
    </w:p>
    <w:p>
      <w:pPr>
        <w:spacing w:before="0" w:after="100" w:line="288" w:lineRule="auto"/>
      </w:pPr>
      <w:r>
        <w:rPr>
          <w:b/>
          <w:sz w:val="20"/>
        </w:rPr>
        <w:t>Capítulo:</w:t>
      </w:r>
      <w:r>
        <w:rPr>
          <w:sz w:val="20"/>
        </w:rPr>
        <w:t xml:space="preserve"> Coberturas · Cobertura verde semi-intensiva.</w:t>
      </w:r>
    </w:p>
    <w:p>
      <w:pPr>
        <w:spacing w:before="0" w:after="100" w:line="288" w:lineRule="auto"/>
      </w:pPr>
      <w:r>
        <w:rPr>
          <w:b/>
          <w:sz w:val="20"/>
        </w:rPr>
        <w:t>Critério de medição:</w:t>
      </w:r>
      <w:r>
        <w:rPr>
          <w:sz w:val="20"/>
        </w:rPr>
        <w:t xml:space="preserve"> camadas por área (m²); plantas por unidade (un.) ou por área plantada (m²); faixas sem vegetação por área (m²); caixas de inspeção por unidade (un.).</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964"/>
        <w:gridCol w:w="6746"/>
        <w:gridCol w:w="771"/>
        <w:gridCol w:w="1157"/>
      </w:tblGrid>
      <w:tr>
        <w:trPr>
          <w:tblHeader w:val="true"/>
          <w:cantSplit/>
        </w:trPr>
        <w:tc>
          <w:tcPr>
            <w:tcW w:type="dxa" w:w="964"/>
            <w:shd w:val="clear" w:color="auto" w:fill="4F6B2A"/>
          </w:tcPr>
          <w:p>
            <w:pPr>
              <w:spacing w:before="0" w:after="0" w:line="252" w:lineRule="auto"/>
            </w:pPr>
            <w:r>
              <w:rPr>
                <w:b/>
                <w:color w:val="FFFFFF"/>
                <w:sz w:val="16"/>
              </w:rPr>
              <w:t>Art.</w:t>
            </w:r>
          </w:p>
        </w:tc>
        <w:tc>
          <w:tcPr>
            <w:tcW w:type="dxa" w:w="6746"/>
            <w:shd w:val="clear" w:color="auto" w:fill="4F6B2A"/>
          </w:tcPr>
          <w:p>
            <w:pPr>
              <w:spacing w:before="0" w:after="0" w:line="252" w:lineRule="auto"/>
            </w:pPr>
            <w:r>
              <w:rPr>
                <w:b/>
                <w:color w:val="FFFFFF"/>
                <w:sz w:val="16"/>
              </w:rPr>
              <w:t>Designação</w:t>
            </w:r>
          </w:p>
        </w:tc>
        <w:tc>
          <w:tcPr>
            <w:tcW w:type="dxa" w:w="771"/>
            <w:shd w:val="clear" w:color="auto" w:fill="4F6B2A"/>
          </w:tcPr>
          <w:p>
            <w:pPr>
              <w:spacing w:before="0" w:after="0" w:line="252" w:lineRule="auto"/>
            </w:pPr>
            <w:r>
              <w:rPr>
                <w:b/>
                <w:color w:val="FFFFFF"/>
                <w:sz w:val="16"/>
              </w:rPr>
              <w:t>Un.</w:t>
            </w:r>
          </w:p>
        </w:tc>
        <w:tc>
          <w:tcPr>
            <w:tcW w:type="dxa" w:w="1157"/>
            <w:shd w:val="clear" w:color="auto" w:fill="4F6B2A"/>
          </w:tcPr>
          <w:p>
            <w:pPr>
              <w:spacing w:before="0" w:after="0" w:line="252" w:lineRule="auto"/>
            </w:pPr>
            <w:r>
              <w:rPr>
                <w:b/>
                <w:color w:val="FFFFFF"/>
                <w:sz w:val="16"/>
              </w:rPr>
              <w:t>Qt.</w:t>
            </w:r>
          </w:p>
        </w:tc>
      </w:tr>
      <w:tr>
        <w:trPr>
          <w:cantSplit/>
        </w:trPr>
        <w:tc>
          <w:tcPr>
            <w:tcW w:type="dxa" w:w="964"/>
          </w:tcPr>
          <w:p>
            <w:pPr>
              <w:spacing w:before="0" w:after="0" w:line="264" w:lineRule="auto"/>
            </w:pPr>
            <w:r>
              <w:rPr>
                <w:color w:val="14202B"/>
                <w:sz w:val="17"/>
              </w:rPr>
              <w:t>[ ]</w:t>
            </w:r>
          </w:p>
        </w:tc>
        <w:tc>
          <w:tcPr>
            <w:tcW w:type="dxa" w:w="6746"/>
          </w:tcPr>
          <w:p>
            <w:pPr>
              <w:spacing w:before="0" w:after="0" w:line="264" w:lineRule="auto"/>
            </w:pPr>
            <w:r>
              <w:rPr>
                <w:color w:val="14202B"/>
                <w:sz w:val="17"/>
              </w:rPr>
              <w:t>Barreira antirraiz ND WSB-80, ou equivalente, incluindo remates verticais (só quando a impermeabilização não é resistente a raízes)</w:t>
            </w:r>
          </w:p>
        </w:tc>
        <w:tc>
          <w:tcPr>
            <w:tcW w:type="dxa" w:w="771"/>
          </w:tcPr>
          <w:p>
            <w:pPr>
              <w:spacing w:before="0" w:after="0" w:line="264" w:lineRule="auto"/>
            </w:pPr>
            <w:r>
              <w:rPr>
                <w:color w:val="14202B"/>
                <w:sz w:val="17"/>
              </w:rPr>
              <w:t>m²</w:t>
            </w:r>
          </w:p>
        </w:tc>
        <w:tc>
          <w:tcPr>
            <w:tcW w:type="dxa" w:w="1157"/>
          </w:tcPr>
          <w:p>
            <w:pPr>
              <w:spacing w:before="0" w:after="0" w:line="264" w:lineRule="auto"/>
            </w:pPr>
            <w:r>
              <w:rPr>
                <w:color w:val="14202B"/>
                <w:sz w:val="17"/>
              </w:rPr>
              <w:t>[ ]</w:t>
            </w:r>
          </w:p>
        </w:tc>
      </w:tr>
      <w:tr>
        <w:trPr>
          <w:cantSplit/>
        </w:trPr>
        <w:tc>
          <w:tcPr>
            <w:tcW w:type="dxa" w:w="964"/>
            <w:shd w:val="clear" w:color="auto" w:fill="F8F9F6"/>
          </w:tcPr>
          <w:p>
            <w:pPr>
              <w:spacing w:before="0" w:after="0" w:line="264" w:lineRule="auto"/>
            </w:pPr>
            <w:r>
              <w:rPr>
                <w:color w:val="14202B"/>
                <w:sz w:val="17"/>
              </w:rPr>
              <w:t>[ ]</w:t>
            </w:r>
          </w:p>
        </w:tc>
        <w:tc>
          <w:tcPr>
            <w:tcW w:type="dxa" w:w="6746"/>
            <w:shd w:val="clear" w:color="auto" w:fill="F8F9F6"/>
          </w:tcPr>
          <w:p>
            <w:pPr>
              <w:spacing w:before="0" w:after="0" w:line="264" w:lineRule="auto"/>
            </w:pPr>
            <w:r>
              <w:rPr>
                <w:color w:val="14202B"/>
                <w:sz w:val="17"/>
              </w:rPr>
              <w:t>Sistema de drenagem com filtro, reserva de água e proteção [ND 4+1h | ND 5+1 | ND 6+1v], ou equivalente, conforme caderno de encargos</w:t>
            </w:r>
          </w:p>
        </w:tc>
        <w:tc>
          <w:tcPr>
            <w:tcW w:type="dxa" w:w="771"/>
            <w:shd w:val="clear" w:color="auto" w:fill="F8F9F6"/>
          </w:tcPr>
          <w:p>
            <w:pPr>
              <w:spacing w:before="0" w:after="0" w:line="264" w:lineRule="auto"/>
            </w:pPr>
            <w:r>
              <w:rPr>
                <w:color w:val="14202B"/>
                <w:sz w:val="17"/>
              </w:rPr>
              <w:t>m²</w:t>
            </w:r>
          </w:p>
        </w:tc>
        <w:tc>
          <w:tcPr>
            <w:tcW w:type="dxa" w:w="1157"/>
            <w:shd w:val="clear" w:color="auto" w:fill="F8F9F6"/>
          </w:tcPr>
          <w:p>
            <w:pPr>
              <w:spacing w:before="0" w:after="0" w:line="264" w:lineRule="auto"/>
            </w:pPr>
            <w:r>
              <w:rPr>
                <w:color w:val="14202B"/>
                <w:sz w:val="17"/>
              </w:rPr>
              <w:t>[ ]</w:t>
            </w:r>
          </w:p>
        </w:tc>
      </w:tr>
      <w:tr>
        <w:trPr>
          <w:cantSplit/>
        </w:trPr>
        <w:tc>
          <w:tcPr>
            <w:tcW w:type="dxa" w:w="964"/>
          </w:tcPr>
          <w:p>
            <w:pPr>
              <w:spacing w:before="0" w:after="0" w:line="264" w:lineRule="auto"/>
            </w:pPr>
            <w:r>
              <w:rPr>
                <w:color w:val="14202B"/>
                <w:sz w:val="17"/>
              </w:rPr>
              <w:t>[ ]</w:t>
            </w:r>
          </w:p>
        </w:tc>
        <w:tc>
          <w:tcPr>
            <w:tcW w:type="dxa" w:w="6746"/>
          </w:tcPr>
          <w:p>
            <w:pPr>
              <w:spacing w:before="0" w:after="0" w:line="264" w:lineRule="auto"/>
            </w:pPr>
            <w:r>
              <w:rPr>
                <w:color w:val="14202B"/>
                <w:sz w:val="17"/>
              </w:rPr>
              <w:t>Placa de reserva de água ND WSM-50, ou equivalente, 50 mm (opcional)</w:t>
            </w:r>
          </w:p>
        </w:tc>
        <w:tc>
          <w:tcPr>
            <w:tcW w:type="dxa" w:w="771"/>
          </w:tcPr>
          <w:p>
            <w:pPr>
              <w:spacing w:before="0" w:after="0" w:line="264" w:lineRule="auto"/>
            </w:pPr>
            <w:r>
              <w:rPr>
                <w:color w:val="14202B"/>
                <w:sz w:val="17"/>
              </w:rPr>
              <w:t>m²</w:t>
            </w:r>
          </w:p>
        </w:tc>
        <w:tc>
          <w:tcPr>
            <w:tcW w:type="dxa" w:w="1157"/>
          </w:tcPr>
          <w:p>
            <w:pPr>
              <w:spacing w:before="0" w:after="0" w:line="264" w:lineRule="auto"/>
            </w:pPr>
            <w:r>
              <w:rPr>
                <w:color w:val="14202B"/>
                <w:sz w:val="17"/>
              </w:rPr>
              <w:t>[ ]</w:t>
            </w:r>
          </w:p>
        </w:tc>
      </w:tr>
      <w:tr>
        <w:trPr>
          <w:cantSplit/>
        </w:trPr>
        <w:tc>
          <w:tcPr>
            <w:tcW w:type="dxa" w:w="964"/>
            <w:shd w:val="clear" w:color="auto" w:fill="F8F9F6"/>
          </w:tcPr>
          <w:p>
            <w:pPr>
              <w:spacing w:before="0" w:after="0" w:line="264" w:lineRule="auto"/>
            </w:pPr>
            <w:r>
              <w:rPr>
                <w:color w:val="14202B"/>
                <w:sz w:val="17"/>
              </w:rPr>
              <w:t>[ ]</w:t>
            </w:r>
          </w:p>
        </w:tc>
        <w:tc>
          <w:tcPr>
            <w:tcW w:type="dxa" w:w="6746"/>
            <w:shd w:val="clear" w:color="auto" w:fill="F8F9F6"/>
          </w:tcPr>
          <w:p>
            <w:pPr>
              <w:spacing w:before="0" w:after="0" w:line="264" w:lineRule="auto"/>
            </w:pPr>
            <w:r>
              <w:rPr>
                <w:color w:val="14202B"/>
                <w:sz w:val="17"/>
              </w:rPr>
              <w:t>Substrato ND DGS-I, ou equivalente, [ ] mm de espessura final, conforme caderno de encargos</w:t>
            </w:r>
          </w:p>
        </w:tc>
        <w:tc>
          <w:tcPr>
            <w:tcW w:type="dxa" w:w="771"/>
            <w:shd w:val="clear" w:color="auto" w:fill="F8F9F6"/>
          </w:tcPr>
          <w:p>
            <w:pPr>
              <w:spacing w:before="0" w:after="0" w:line="264" w:lineRule="auto"/>
            </w:pPr>
            <w:r>
              <w:rPr>
                <w:color w:val="14202B"/>
                <w:sz w:val="17"/>
              </w:rPr>
              <w:t>m²</w:t>
            </w:r>
          </w:p>
        </w:tc>
        <w:tc>
          <w:tcPr>
            <w:tcW w:type="dxa" w:w="1157"/>
            <w:shd w:val="clear" w:color="auto" w:fill="F8F9F6"/>
          </w:tcPr>
          <w:p>
            <w:pPr>
              <w:spacing w:before="0" w:after="0" w:line="264" w:lineRule="auto"/>
            </w:pPr>
            <w:r>
              <w:rPr>
                <w:color w:val="14202B"/>
                <w:sz w:val="17"/>
              </w:rPr>
              <w:t>[ ]</w:t>
            </w:r>
          </w:p>
        </w:tc>
      </w:tr>
      <w:tr>
        <w:trPr>
          <w:cantSplit/>
        </w:trPr>
        <w:tc>
          <w:tcPr>
            <w:tcW w:type="dxa" w:w="964"/>
          </w:tcPr>
          <w:p>
            <w:pPr>
              <w:spacing w:before="0" w:after="0" w:line="264" w:lineRule="auto"/>
            </w:pPr>
            <w:r>
              <w:rPr>
                <w:color w:val="14202B"/>
                <w:sz w:val="17"/>
              </w:rPr>
              <w:t>[ ]</w:t>
            </w:r>
          </w:p>
        </w:tc>
        <w:tc>
          <w:tcPr>
            <w:tcW w:type="dxa" w:w="6746"/>
          </w:tcPr>
          <w:p>
            <w:pPr>
              <w:spacing w:before="0" w:after="0" w:line="264" w:lineRule="auto"/>
            </w:pPr>
            <w:r>
              <w:rPr>
                <w:color w:val="14202B"/>
                <w:sz w:val="17"/>
              </w:rPr>
              <w:t>Rega gota a gota, opção [A | B], incluindo programador, sensor de humidade e ligações</w:t>
            </w:r>
          </w:p>
        </w:tc>
        <w:tc>
          <w:tcPr>
            <w:tcW w:type="dxa" w:w="771"/>
          </w:tcPr>
          <w:p>
            <w:pPr>
              <w:spacing w:before="0" w:after="0" w:line="264" w:lineRule="auto"/>
            </w:pPr>
            <w:r>
              <w:rPr>
                <w:color w:val="14202B"/>
                <w:sz w:val="17"/>
              </w:rPr>
              <w:t>m²</w:t>
            </w:r>
          </w:p>
        </w:tc>
        <w:tc>
          <w:tcPr>
            <w:tcW w:type="dxa" w:w="1157"/>
          </w:tcPr>
          <w:p>
            <w:pPr>
              <w:spacing w:before="0" w:after="0" w:line="264" w:lineRule="auto"/>
            </w:pPr>
            <w:r>
              <w:rPr>
                <w:color w:val="14202B"/>
                <w:sz w:val="17"/>
              </w:rPr>
              <w:t>[ ]</w:t>
            </w:r>
          </w:p>
        </w:tc>
      </w:tr>
      <w:tr>
        <w:trPr>
          <w:cantSplit/>
        </w:trPr>
        <w:tc>
          <w:tcPr>
            <w:tcW w:type="dxa" w:w="964"/>
            <w:shd w:val="clear" w:color="auto" w:fill="F8F9F6"/>
          </w:tcPr>
          <w:p>
            <w:pPr>
              <w:spacing w:before="0" w:after="0" w:line="264" w:lineRule="auto"/>
            </w:pPr>
            <w:r>
              <w:rPr>
                <w:color w:val="14202B"/>
                <w:sz w:val="17"/>
              </w:rPr>
              <w:t>[ ]</w:t>
            </w:r>
          </w:p>
        </w:tc>
        <w:tc>
          <w:tcPr>
            <w:tcW w:type="dxa" w:w="6746"/>
            <w:shd w:val="clear" w:color="auto" w:fill="F8F9F6"/>
          </w:tcPr>
          <w:p>
            <w:pPr>
              <w:spacing w:before="0" w:after="0" w:line="264" w:lineRule="auto"/>
            </w:pPr>
            <w:r>
              <w:rPr>
                <w:color w:val="14202B"/>
                <w:sz w:val="17"/>
              </w:rPr>
              <w:t>Vegetação semi-intensiva, segundo o plano de plantação, incluindo manutenção até à receção</w:t>
            </w:r>
          </w:p>
        </w:tc>
        <w:tc>
          <w:tcPr>
            <w:tcW w:type="dxa" w:w="771"/>
            <w:shd w:val="clear" w:color="auto" w:fill="F8F9F6"/>
          </w:tcPr>
          <w:p>
            <w:pPr>
              <w:spacing w:before="0" w:after="0" w:line="264" w:lineRule="auto"/>
            </w:pPr>
            <w:r>
              <w:rPr>
                <w:color w:val="14202B"/>
                <w:sz w:val="17"/>
              </w:rPr>
              <w:t>m²</w:t>
            </w:r>
          </w:p>
        </w:tc>
        <w:tc>
          <w:tcPr>
            <w:tcW w:type="dxa" w:w="1157"/>
            <w:shd w:val="clear" w:color="auto" w:fill="F8F9F6"/>
          </w:tcPr>
          <w:p>
            <w:pPr>
              <w:spacing w:before="0" w:after="0" w:line="264" w:lineRule="auto"/>
            </w:pPr>
            <w:r>
              <w:rPr>
                <w:color w:val="14202B"/>
                <w:sz w:val="17"/>
              </w:rPr>
              <w:t>[ ]</w:t>
            </w:r>
          </w:p>
        </w:tc>
      </w:tr>
      <w:tr>
        <w:trPr>
          <w:cantSplit/>
        </w:trPr>
        <w:tc>
          <w:tcPr>
            <w:tcW w:type="dxa" w:w="964"/>
          </w:tcPr>
          <w:p>
            <w:pPr>
              <w:spacing w:before="0" w:after="0" w:line="264" w:lineRule="auto"/>
            </w:pPr>
            <w:r>
              <w:rPr>
                <w:color w:val="14202B"/>
                <w:sz w:val="17"/>
              </w:rPr>
              <w:t>[ ]</w:t>
            </w:r>
          </w:p>
        </w:tc>
        <w:tc>
          <w:tcPr>
            <w:tcW w:type="dxa" w:w="6746"/>
          </w:tcPr>
          <w:p>
            <w:pPr>
              <w:spacing w:before="0" w:after="0" w:line="264" w:lineRule="auto"/>
            </w:pPr>
            <w:r>
              <w:rPr>
                <w:color w:val="14202B"/>
                <w:sz w:val="17"/>
              </w:rPr>
              <w:t>Faixa sem vegetação em seixo rolado 16/32 ou lajetas, com perfil de remate</w:t>
            </w:r>
          </w:p>
        </w:tc>
        <w:tc>
          <w:tcPr>
            <w:tcW w:type="dxa" w:w="771"/>
          </w:tcPr>
          <w:p>
            <w:pPr>
              <w:spacing w:before="0" w:after="0" w:line="264" w:lineRule="auto"/>
            </w:pPr>
            <w:r>
              <w:rPr>
                <w:color w:val="14202B"/>
                <w:sz w:val="17"/>
              </w:rPr>
              <w:t>m²</w:t>
            </w:r>
          </w:p>
        </w:tc>
        <w:tc>
          <w:tcPr>
            <w:tcW w:type="dxa" w:w="1157"/>
          </w:tcPr>
          <w:p>
            <w:pPr>
              <w:spacing w:before="0" w:after="0" w:line="264" w:lineRule="auto"/>
            </w:pPr>
            <w:r>
              <w:rPr>
                <w:color w:val="14202B"/>
                <w:sz w:val="17"/>
              </w:rPr>
              <w:t>[ ]</w:t>
            </w:r>
          </w:p>
        </w:tc>
      </w:tr>
      <w:tr>
        <w:trPr>
          <w:cantSplit/>
        </w:trPr>
        <w:tc>
          <w:tcPr>
            <w:tcW w:type="dxa" w:w="964"/>
            <w:shd w:val="clear" w:color="auto" w:fill="F8F9F6"/>
          </w:tcPr>
          <w:p>
            <w:pPr>
              <w:spacing w:before="0" w:after="0" w:line="264" w:lineRule="auto"/>
            </w:pPr>
            <w:r>
              <w:rPr>
                <w:color w:val="14202B"/>
                <w:sz w:val="17"/>
              </w:rPr>
              <w:t>[ ]</w:t>
            </w:r>
          </w:p>
        </w:tc>
        <w:tc>
          <w:tcPr>
            <w:tcW w:type="dxa" w:w="6746"/>
            <w:shd w:val="clear" w:color="auto" w:fill="F8F9F6"/>
          </w:tcPr>
          <w:p>
            <w:pPr>
              <w:spacing w:before="0" w:after="0" w:line="264" w:lineRule="auto"/>
            </w:pPr>
            <w:r>
              <w:rPr>
                <w:color w:val="14202B"/>
                <w:sz w:val="17"/>
              </w:rPr>
              <w:t>Caixa de inspeção sobre ralo</w:t>
            </w:r>
          </w:p>
        </w:tc>
        <w:tc>
          <w:tcPr>
            <w:tcW w:type="dxa" w:w="771"/>
            <w:shd w:val="clear" w:color="auto" w:fill="F8F9F6"/>
          </w:tcPr>
          <w:p>
            <w:pPr>
              <w:spacing w:before="0" w:after="0" w:line="264" w:lineRule="auto"/>
            </w:pPr>
            <w:r>
              <w:rPr>
                <w:color w:val="14202B"/>
                <w:sz w:val="17"/>
              </w:rPr>
              <w:t>un.</w:t>
            </w:r>
          </w:p>
        </w:tc>
        <w:tc>
          <w:tcPr>
            <w:tcW w:type="dxa" w:w="1157"/>
            <w:shd w:val="clear" w:color="auto" w:fill="F8F9F6"/>
          </w:tcPr>
          <w:p>
            <w:pPr>
              <w:spacing w:before="0" w:after="0" w:line="264" w:lineRule="auto"/>
            </w:pPr>
            <w:r>
              <w:rPr>
                <w:color w:val="14202B"/>
                <w:sz w:val="17"/>
              </w:rPr>
              <w:t>[ ]</w:t>
            </w:r>
          </w:p>
        </w:tc>
      </w:tr>
    </w:tbl>
    <w:p>
      <w:pPr>
        <w:spacing w:before="0" w:after="80" w:line="240" w:lineRule="auto"/>
      </w:pPr>
    </w:p>
    <w:tbl>
      <w:tblPr>
        <w:tblW w:type="auto" w:w="0"/>
        <w:tblLayout w:type="fixed"/>
        <w:tblLook w:firstColumn="1" w:firstRow="1" w:lastColumn="0" w:lastRow="0" w:noHBand="0" w:noVBand="1" w:val="04A0"/>
        <w:tblLayout w:type="fixed"/>
        <w:tblCellMar>
          <w:top w:w="113" w:type="dxa"/>
          <w:bottom w:w="113" w:type="dxa"/>
          <w:left w:w="170" w:type="dxa"/>
          <w:right w:w="170" w:type="dxa"/>
        </w:tblCellMar>
      </w:tblPr>
      <w:tblGrid>
        <w:gridCol w:w="9638"/>
      </w:tblGrid>
      <w:tr>
        <w:tc>
          <w:tcPr>
            <w:tcW w:type="dxa" w:w="9638"/>
            <w:shd w:val="clear" w:color="auto" w:fill="F3F5F0"/>
            <w:tcBorders>
              <w:left w:val="single" w:sz="18" w:color="4F6B2A"/>
            </w:tcBorders>
          </w:tcPr>
          <w:p>
            <w:pPr>
              <w:spacing w:before="0" w:after="0" w:line="276" w:lineRule="auto"/>
            </w:pPr>
            <w:r>
              <w:rPr>
                <w:color w:val="14202B"/>
                <w:sz w:val="18"/>
              </w:rPr>
              <w:t>A impermeabilização mede-se no capítulo próprio. Áreas medidas em projeção horizontal, sem descontar vãos inferiores a [1] m².</w:t>
            </w:r>
          </w:p>
        </w:tc>
      </w:tr>
    </w:tbl>
    <w:p>
      <w:pPr>
        <w:spacing w:after="0"/>
      </w:pPr>
    </w:p>
    <w:p>
      <w:pPr>
        <w:spacing w:before="240" w:after="0" w:line="276" w:lineRule="auto"/>
      </w:pPr>
      <w:r>
        <w:rPr>
          <w:color w:val="55606E"/>
          <w:sz w:val="15"/>
        </w:rPr>
        <w:t>Valores das fichas técnicas Nophadrain publicadas pela archiroof, das páginas de soluções e da calculadora archiroof. Os valores declarados são os do fabricante e podem ser alterados por ele; a versão em vigor confirma-se antes de prescrever. Espessuras de substrato, pendentes, faixas sem vegetação, rega, cargas da vegetação e lastro contra o vento: Guia Técnico da Associação Nacional de Coberturas Verdes (ANCV), com os quadros 14 (segundo as Diretrizes FLL, 2018) e 15 (segundo a NTJ 11C, 2012).</w:t>
      </w:r>
    </w:p>
    <w:sectPr w:rsidR="00FC693F" w:rsidRPr="0006063C" w:rsidSect="00034616">
      <w:headerReference w:type="default" r:id="rId9"/>
      <w:footerReference w:type="default" r:id="rId10"/>
      <w:pgSz w:w="11906" w:h="16838"/>
      <w:pgMar w:top="1701" w:right="1134" w:bottom="147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20" w:line="240" w:lineRule="auto"/>
      <w:pBdr>
        <w:top w:val="single" w:sz="6" w:space="4" w:color="4F6B2A"/>
      </w:pBdr>
    </w:pPr>
    <w:r>
      <w:rPr>
        <w:b/>
        <w:color w:val="4F6B2A"/>
        <w:sz w:val="16"/>
      </w:rPr>
      <w:t>archiroof.pt</w:t>
    </w:r>
    <w:r>
      <w:rPr>
        <w:color w:val="14202B"/>
        <w:sz w:val="15"/>
      </w:rPr>
      <w:t xml:space="preserve">   ·   info@archihub.pt   ·   220 924 484 </w:t>
    </w:r>
    <w:r>
      <w:rPr>
        <w:color w:val="55606E"/>
        <w:sz w:val="13"/>
      </w:rPr>
      <w:t>(chamada para a rede fixa nacional)</w:t>
    </w:r>
  </w:p>
  <w:p>
    <w:pPr>
      <w:spacing w:before="0" w:after="20" w:line="240" w:lineRule="auto"/>
    </w:pPr>
    <w:r>
      <w:rPr>
        <w:color w:val="55606E"/>
        <w:sz w:val="14"/>
      </w:rPr>
      <w:t>Av. Visconde Barreiros, Ed. Maia Luz, 1.º, Loja 19, 4470-151 Maia   ·   A archiroof é distribuidora em Portugal dos sistemas Nophadrain</w:t>
    </w:r>
  </w:p>
  <w:p>
    <w:pPr>
      <w:spacing w:before="0" w:after="0" w:line="240" w:lineRule="auto"/>
    </w:pPr>
    <w:r>
      <w:rPr>
        <w:color w:val="55606E"/>
        <w:sz w:val="14"/>
      </w:rPr>
      <w:t xml:space="preserve">Texto de especificação · Cobertura verde semi-intensiva Nophadrain · archiroof.pt · Nophadrain · página </w:t>
    </w:r>
    <w:r>
      <w:rPr>
        <w:color w:val="55606E"/>
        <w:sz w:val="14"/>
      </w:rPr>
      <w:fldChar w:fldCharType="begin"/>
    </w:r>
    <w:r>
      <w:rPr>
        <w:color w:val="55606E"/>
        <w:sz w:val="14"/>
      </w:rPr>
      <w:instrText xml:space="preserve"> PAGE </w:instrText>
    </w:r>
    <w:r>
      <w:rPr>
        <w:color w:val="55606E"/>
        <w:sz w:val="14"/>
      </w:rPr>
      <w:fldChar w:fldCharType="separate"/>
    </w:r>
    <w:r>
      <w:rPr>
        <w:color w:val="55606E"/>
        <w:sz w:val="14"/>
      </w:rPr>
      <w:t>1</w:t>
    </w:r>
    <w:r>
      <w:rPr>
        <w:color w:val="55606E"/>
        <w:sz w:val="14"/>
      </w:rPr>
      <w:fldChar w:fldCharType="end"/>
    </w:r>
    <w:r>
      <w:rPr>
        <w:color w:val="55606E"/>
        <w:sz w:val="14"/>
      </w:rPr>
      <w:t xml:space="preserve"> de </w:t>
    </w:r>
    <w:r>
      <w:rPr>
        <w:color w:val="55606E"/>
        <w:sz w:val="14"/>
      </w:rPr>
      <w:fldChar w:fldCharType="begin"/>
    </w:r>
    <w:r>
      <w:rPr>
        <w:color w:val="55606E"/>
        <w:sz w:val="14"/>
      </w:rPr>
      <w:instrText xml:space="preserve"> NUMPAGES </w:instrText>
    </w:r>
    <w:r>
      <w:rPr>
        <w:color w:val="55606E"/>
        <w:sz w:val="14"/>
      </w:rPr>
      <w:fldChar w:fldCharType="separate"/>
    </w:r>
    <w:r>
      <w:rPr>
        <w:color w:val="55606E"/>
        <w:sz w:val="14"/>
      </w:rPr>
      <w:t>1</w:t>
    </w:r>
    <w:r>
      <w:rPr>
        <w:color w:val="55606E"/>
        <w:sz w:val="14"/>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Layout w:type="fixed"/>
    </w:tblPr>
    <w:tblGrid>
      <w:gridCol w:w="4819"/>
      <w:gridCol w:w="4819"/>
    </w:tblGrid>
    <w:tr>
      <w:tc>
        <w:tcPr>
          <w:tcW w:type="dxa" w:w="4819"/>
          <w:vAlign w:val="center"/>
        </w:tcPr>
        <w:p>
          <w:pPr>
            <w:spacing w:before="0" w:after="0" w:line="240" w:lineRule="auto"/>
            <w:jc w:val="left"/>
          </w:pPr>
          <w:r>
            <w:drawing>
              <wp:inline xmlns:a="http://schemas.openxmlformats.org/drawingml/2006/main" xmlns:pic="http://schemas.openxmlformats.org/drawingml/2006/picture">
                <wp:extent cx="1193400" cy="306000"/>
                <wp:docPr id="1" name="Picture 1"/>
                <wp:cNvGraphicFramePr>
                  <a:graphicFrameLocks noChangeAspect="1"/>
                </wp:cNvGraphicFramePr>
                <a:graphic>
                  <a:graphicData uri="http://schemas.openxmlformats.org/drawingml/2006/picture">
                    <pic:pic>
                      <pic:nvPicPr>
                        <pic:cNvPr id="0" name="logo-archiroof.png"/>
                        <pic:cNvPicPr/>
                      </pic:nvPicPr>
                      <pic:blipFill>
                        <a:blip r:embed="rId1"/>
                        <a:stretch>
                          <a:fillRect/>
                        </a:stretch>
                      </pic:blipFill>
                      <pic:spPr>
                        <a:xfrm>
                          <a:off x="0" y="0"/>
                          <a:ext cx="1193400" cy="306000"/>
                        </a:xfrm>
                        <a:prstGeom prst="rect"/>
                      </pic:spPr>
                    </pic:pic>
                  </a:graphicData>
                </a:graphic>
              </wp:inline>
            </w:drawing>
          </w:r>
        </w:p>
      </w:tc>
      <w:tc>
        <w:tcPr>
          <w:tcW w:type="dxa" w:w="4819"/>
          <w:vAlign w:val="center"/>
        </w:tcPr>
        <w:p>
          <w:pPr>
            <w:spacing w:before="0" w:after="0" w:line="240" w:lineRule="auto"/>
            <w:jc w:val="right"/>
          </w:pPr>
          <w:r>
            <w:drawing>
              <wp:inline xmlns:a="http://schemas.openxmlformats.org/drawingml/2006/main" xmlns:pic="http://schemas.openxmlformats.org/drawingml/2006/picture">
                <wp:extent cx="384000" cy="216000"/>
                <wp:docPr id="2" name="Picture 2"/>
                <wp:cNvGraphicFramePr>
                  <a:graphicFrameLocks noChangeAspect="1"/>
                </wp:cNvGraphicFramePr>
                <a:graphic>
                  <a:graphicData uri="http://schemas.openxmlformats.org/drawingml/2006/picture">
                    <pic:pic>
                      <pic:nvPicPr>
                        <pic:cNvPr id="0" name="logo-nophadrain.png"/>
                        <pic:cNvPicPr/>
                      </pic:nvPicPr>
                      <pic:blipFill>
                        <a:blip r:embed="rId2"/>
                        <a:stretch>
                          <a:fillRect/>
                        </a:stretch>
                      </pic:blipFill>
                      <pic:spPr>
                        <a:xfrm>
                          <a:off x="0" y="0"/>
                          <a:ext cx="384000" cy="216000"/>
                        </a:xfrm>
                        <a:prstGeom prst="rect"/>
                      </pic:spPr>
                    </pic:pic>
                  </a:graphicData>
                </a:graphic>
              </wp:inline>
            </w:drawing>
          </w:r>
        </w:p>
      </w:tc>
    </w:tr>
  </w:tbl>
  <w:p>
    <w:pPr>
      <w:pStyle w:val="Header"/>
      <w:spacing w:before="0" w:after="0" w:line="240" w:lineRule="auto"/>
      <w:pBdr>
        <w:bottom w:val="single" w:sz="6" w:space="4" w:color="DFE4D9"/>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4202B"/>
      <w:sz w:val="20"/>
      <w:lang w:val="pt-P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de especificação: Cobertura verde semi-intensiva · archiroof</dc:title>
  <dc:subject>Memória descritiva, caderno de encargos e mapa de quantidades</dc:subject>
  <dc:creator>archiroof</dc:creator>
  <cp:keywords/>
  <dc:description>generated by python-docx</dc:description>
  <cp:lastModifiedBy/>
  <cp:revision>1</cp:revision>
  <dcterms:created xsi:type="dcterms:W3CDTF">2013-12-23T23:15:00Z</dcterms:created>
  <dcterms:modified xsi:type="dcterms:W3CDTF">2013-12-23T23:15:00Z</dcterms:modified>
  <cp:category/>
  <dc:language>pt-PT</dc:language>
</cp:coreProperties>
</file>