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4F6B2A"/>
          <w:sz w:val="15"/>
        </w:rPr>
        <w:t>TEXTO DE ESPECIFICAÇÃO · ARCHIROOF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Cobertura verde intensiva Nophadrain</w:t>
      </w:r>
    </w:p>
    <w:p>
      <w:pPr>
        <w:spacing w:before="0" w:after="200" w:line="264" w:lineRule="auto"/>
        <w:pBdr>
          <w:bottom w:val="single" w:sz="8" w:space="4" w:color="4F6B2A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3F5F0"/>
            <w:tcBorders>
              <w:left w:val="single" w:sz="18" w:color="4F6B2A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archiroof e coincidem com os das fichas técnicas e da calculadora archiroof.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ou de arquitetura paisagista.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Solução</w:t>
      </w:r>
    </w:p>
    <w:p>
      <w:pPr>
        <w:spacing w:before="0" w:after="100" w:line="288" w:lineRule="auto"/>
      </w:pPr>
      <w:r>
        <w:rPr>
          <w:sz w:val="20"/>
        </w:rPr>
        <w:t>Prevê-se uma cobertura verde intensiva (jardim sobre laje), com uma área de [ ] m², com [relvado | vivazes | arbustos | árvores] e [caminhos | zonas de estar], conforme o projeto de arquitetura paisagista. O substrato tem mais de 25 cm, como é próprio da cobertura intensiva, e a espessura de cada zona resulta da vegetação: [ ] cm nas zonas de relvado e herbáceas, [ ] cm nas zonas de arbustos e [ ] cm nas caldeiras das árvores.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De cima para baixo: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Vegetação intensiva</w:t>
      </w:r>
      <w:r>
        <w:rPr>
          <w:sz w:val="20"/>
        </w:rPr>
        <w:t>: relvado, vivazes, arbustos e árvores, combinados com pavimentos.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Rega gota a gota</w:t>
      </w:r>
      <w:r>
        <w:rPr>
          <w:sz w:val="20"/>
        </w:rPr>
        <w:t>: zonas separadas para relvado, arbustos e árvores, com anéis de rega nas árvores. Duas posições possíveis do tubo: à superfície do substrato, com tubo comum; sob relva em tapete ou outros tapetes pré-cultivados, com tubo com proteção antirraízes.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Substrato intensivo</w:t>
      </w:r>
      <w:r>
        <w:rPr>
          <w:sz w:val="20"/>
        </w:rPr>
        <w:t xml:space="preserve"> (mais de 250 mm): mais de 25 cm, conforme a vegetação: dos relvados e herbáceas às árvores, que pedem a partir de 70 cm. Produto de referência: ND DGS-I.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Filtro, drenagem e reserva de água</w:t>
      </w:r>
      <w:r>
        <w:rPr>
          <w:sz w:val="20"/>
        </w:rPr>
        <w:t xml:space="preserve"> (17 mm): geocompósito com reserva de água, filtro e proteção. Produto de referência: ND 4+1h ou ND 5+1.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Folha de deslizamento e proteção</w:t>
      </w:r>
      <w:r>
        <w:rPr>
          <w:sz w:val="20"/>
        </w:rPr>
        <w:t xml:space="preserve"> (1 mm): protege a impermeabilização das cargas de obra e dos movimentos do substrato. Produto de referência: ND TSF-100.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Impermeabilização</w:t>
      </w:r>
      <w:r>
        <w:rPr>
          <w:sz w:val="20"/>
        </w:rPr>
        <w:t>: qualquer sistema, betuminoso, PVC, EPDM ou líquido. Resistente a raízes, ou complementado com barreira antirraiz.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Laje de cobertura</w:t>
      </w:r>
      <w:r>
        <w:rPr>
          <w:sz w:val="20"/>
        </w:rPr>
        <w:t>: suporte estrutural, com pendente de 2 % ou mais.</w:t>
      </w:r>
    </w:p>
    <w:p>
      <w:pPr>
        <w:spacing w:before="0" w:after="100" w:line="288" w:lineRule="auto"/>
      </w:pPr>
      <w:r>
        <w:rPr>
          <w:sz w:val="20"/>
        </w:rPr>
        <w:t>O sistema aplica-se sobre qualquer impermeabilização (betuminosa, PVC, EPDM, líquida), resistente a raízes ou com barreira antirraiz. A impermeabilização, os seus remates e o respetivo ensaio são objeto de capítulo próprio do projeto e não fazem parte deste texto.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Cargas e água</w:t>
      </w:r>
    </w:p>
    <w:p>
      <w:pPr>
        <w:spacing w:before="0" w:after="100" w:line="288" w:lineRule="auto"/>
      </w:pPr>
      <w:r>
        <w:rPr>
          <w:sz w:val="20"/>
        </w:rPr>
        <w:t>Valores indicativos do fabricante, a confirmar no projeto:</w:t>
      </w:r>
    </w:p>
    <w:p>
      <w:pPr>
        <w:pStyle w:val="ListBullet"/>
        <w:spacing w:before="0" w:after="40" w:line="276" w:lineRule="auto"/>
      </w:pPr>
      <w:r>
        <w:rPr>
          <w:sz w:val="20"/>
        </w:rPr>
        <w:t>332 kg/m² · peso saturado com 25 cm de substrato</w:t>
      </w:r>
    </w:p>
    <w:p>
      <w:pPr>
        <w:pStyle w:val="ListBullet"/>
        <w:spacing w:before="0" w:after="40" w:line="276" w:lineRule="auto"/>
      </w:pPr>
      <w:r>
        <w:rPr>
          <w:sz w:val="20"/>
        </w:rPr>
        <w:t>657 kg/m² · peso saturado com 50 cm</w:t>
      </w:r>
    </w:p>
    <w:p>
      <w:pPr>
        <w:pStyle w:val="ListBullet"/>
        <w:spacing w:before="0" w:after="40" w:line="276" w:lineRule="auto"/>
      </w:pPr>
      <w:r>
        <w:rPr>
          <w:sz w:val="20"/>
        </w:rPr>
        <w:t>79–304 l/m² · água retida (25 a 100 cm)</w:t>
      </w:r>
    </w:p>
    <w:p>
      <w:pPr>
        <w:pStyle w:val="ListBullet"/>
        <w:spacing w:before="0" w:after="40" w:line="276" w:lineRule="auto"/>
      </w:pPr>
      <w:r>
        <w:rPr>
          <w:sz w:val="20"/>
        </w:rPr>
        <w:t>0,1–0,2 · coeficiente de escoamento</w:t>
      </w:r>
    </w:p>
    <w:p>
      <w:pPr>
        <w:spacing w:before="0" w:after="100" w:line="288" w:lineRule="auto"/>
      </w:pPr>
      <w:r>
        <w:rPr>
          <w:sz w:val="20"/>
        </w:rPr>
        <w:t>Árvores, muretes, pavimentos e elementos construídos somam-se a estes valores. O peso saturado entra no cálculo estrutural com as sobrecargas de utilização (NP EN 1991-1-1) e a neve, onde é relevante (NP EN 1991-1-3). A carga é definida no estudo prévio, zona a zona: [ ] kg/m² saturado (calculadora archiroof).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Ação do vento</w:t>
      </w:r>
    </w:p>
    <w:p>
      <w:pPr>
        <w:spacing w:before="0" w:after="100" w:line="288" w:lineRule="auto"/>
      </w:pPr>
      <w:r>
        <w:rPr>
          <w:sz w:val="20"/>
        </w:rPr>
        <w:t>O sistema resiste à sucção do vento pelo seu próprio peso, sem fixações à laje. A ação do vento determina-se segundo a NP EN 1991-1-4 e o respetivo Anexo Nacional, com a zona e a categoria de terreno do local, incluindo as Regiões Autónomas da Madeira e dos Açores. As cargas mínimas de referência do sistema em estado seco são as seguintes, maiores nos cantos e na periferia do que na zona central da cobertura: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855"/>
        <w:gridCol w:w="2891"/>
        <w:gridCol w:w="2891"/>
      </w:tblGrid>
      <w:tr>
        <w:trPr>
          <w:tblHeader w:val="true"/>
          <w:cantSplit/>
        </w:trPr>
        <w:tc>
          <w:tcPr>
            <w:tcW w:type="dxa" w:w="385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Altura do edifício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Cantos e periferia (kg/m²)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Zona central (kg/m²)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8 m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100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50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 a 22 m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160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60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22 m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200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80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Nos cantos e na periferia, onde a carga do sistema não chega ao valor exigido, usa-se uma faixa de gravilha ou de lajetas, com a largura e o peso definidos no projeto: [ ] m e [ ] kg/m².</w:t>
      </w:r>
    </w:p>
    <w:p>
      <w:pPr>
        <w:spacing w:before="0" w:after="100" w:line="288" w:lineRule="auto"/>
      </w:pPr>
      <w:r>
        <w:rPr>
          <w:sz w:val="20"/>
        </w:rPr>
        <w:t>As árvores têm ancoragem do torrão contra o vento, dimensionada para a exposição do local.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Drenagem e pendentes</w:t>
      </w:r>
    </w:p>
    <w:p>
      <w:pPr>
        <w:spacing w:before="0" w:after="100" w:line="288" w:lineRule="auto"/>
      </w:pPr>
      <w:r>
        <w:rPr>
          <w:sz w:val="20"/>
        </w:rPr>
        <w:t>Pendente efetiva mínima da laje de 1 % (2 % nos sistemas monocamada), com empoçamento tolerado em até 5 % da área e até 5 mm. Os remates verticais sobem pelo menos 150 mm acima da superfície da vegetação ou do pavimento. A capacidade de drenagem no plano exigida calcula-se por q' = A × C × r / L, em que A é a área a drenar (m²), C o coeficiente de escoamento, r a intensidade da chuvada de projeto (l/(s·m²)) e L o comprimento do bordo para onde a água escoa (m). A intensidade da chuvada de projeto resulta das curvas intensidade-duração-frequência do Decreto Regulamentar n.º 23/95 (Anexo IX), para a região pluviométrica do local (A, B ou C, incluindo as Regiões Autónomas) e o período de retorno adotado.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Rega</w:t>
      </w:r>
    </w:p>
    <w:p>
      <w:pPr>
        <w:spacing w:before="0" w:after="100" w:line="288" w:lineRule="auto"/>
      </w:pPr>
      <w:r>
        <w:rPr>
          <w:sz w:val="20"/>
        </w:rPr>
        <w:t>Zonas de rega separadas por tipo de plantação e exposição. As árvores têm anéis de tubo gotejador sobre o torrão, alargados à medida que crescem. Nos primeiros anos, a frequência da rega conta mais do que o volume. O sistema é comandado por programador com sensor de humidade do substrato e dividido em zonas por tipo de plantação e exposição, com anéis de tubo gotejador sobre o torrão de cada árvore. O tubo gotejador é autocompensante, com válvula antirretorno, em duas posições possíveis: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A · tubo gotejador à superfície do substrato]</w:t>
      </w:r>
    </w:p>
    <w:p>
      <w:pPr>
        <w:spacing w:before="0" w:after="100" w:line="288" w:lineRule="auto"/>
      </w:pPr>
      <w:r>
        <w:rPr>
          <w:sz w:val="20"/>
        </w:rPr>
        <w:t>Tubo gotejador comum, assente à superfície do substrato, com as linhas junto das plantas, na plantação em alvéolo, por estacas ou em vaso.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B · tubo gotejador sob tapete pré-cultivado]</w:t>
      </w:r>
    </w:p>
    <w:p>
      <w:pPr>
        <w:spacing w:before="0" w:after="100" w:line="288" w:lineRule="auto"/>
      </w:pPr>
      <w:r>
        <w:rPr>
          <w:sz w:val="20"/>
        </w:rPr>
        <w:t>Tubo gotejador com proteção antirraízes, colocado por baixo da relva em tapete ou de outros tapetes pré-cultivados.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Vegetação</w:t>
      </w:r>
    </w:p>
    <w:p>
      <w:pPr>
        <w:spacing w:before="0" w:after="100" w:line="288" w:lineRule="auto"/>
      </w:pPr>
      <w:r>
        <w:rPr>
          <w:sz w:val="20"/>
        </w:rPr>
        <w:t>Relvados de baixo consumo de água, arbustos e árvores de porte pequeno a médio, com preferência por espécies autóctones e mediterrânicas de necessidade de água baixa a média, como o medronheiro. A escolha das espécies tem em conta a zona climática do local, no Continente, na Madeira (litoral ou altitude) ou nos Açores, e a exposição ao sol e ao vento, com preferência por espécies autóctones ou mediterrânicas. O guia de plantas archiroof classifica as espécies recomendadas para cada uma destas zonas. Excluem-se as espécies das listas legais de espécies invasoras: Anexo II do Decreto-Lei n.º 92/2019 no Continente, Anexo II do Decreto Legislativo Regional n.º 17/2023/M na Região Autónoma da Madeira e Anexo IX do Decreto Legislativo Regional n.º 15/2012/A na Região Autónoma dos Açores.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Manutenção</w:t>
      </w:r>
    </w:p>
    <w:p>
      <w:pPr>
        <w:spacing w:before="0" w:after="100" w:line="288" w:lineRule="auto"/>
      </w:pPr>
      <w:r>
        <w:rPr>
          <w:sz w:val="20"/>
        </w:rPr>
        <w:t>Manutenção de jardim: corte de relvado, podas, fertilização, verificação da rega, dos filtros, dos ralos e das caixas de inspeção.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Cobertura verde intensiva Nophadrain com folha de deslizamento e proteção ND TSF-100, sistema de drenagem [ND 4+1h | ND 5+1], substrato intensivo ND DGS-I com mais de 250 mm, vegetação de jardim e rega gota a gota por zonas, em [ ] m², sobre impermeabilização resistente a raízes ou com barreira antirraiz ND WSB-80.</w:t>
      </w: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2. Caderno de encargos</w:t>
      </w:r>
    </w:p>
    <w:p>
      <w:pPr>
        <w:spacing w:before="0" w:after="100" w:line="288" w:lineRule="auto"/>
      </w:pPr>
      <w:r>
        <w:rPr>
          <w:sz w:val="20"/>
        </w:rPr>
        <w:t>Todos os artigos incluem o fornecimento, o transporte, a elevação à cobertura, a colocação e os trabalhos acessórios necessários.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Barreira antirraiz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· impermeabilização não resistente a raízes]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 de barreira antirraiz do tipo </w:t>
      </w:r>
      <w:r>
        <w:rPr>
          <w:b/>
          <w:sz w:val="20"/>
        </w:rPr>
        <w:t>ND WSB-80</w:t>
      </w:r>
      <w:r>
        <w:rPr>
          <w:sz w:val="20"/>
        </w:rPr>
        <w:t xml:space="preserve"> da Nophadrain, ou equivalente previamente aprovado pela fiscalização, em polietileno de baixa densidade (LDPE modificado), com 0,8 mm de espessura, sobre a impermeabilização e subindo nos remates verticais. Mantém-se apenas quando a impermeabilização não é resistente a raízes.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barreira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penetração de raízes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ensaiada, sem penetração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13948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aos danos causados por raízes em coberturas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ensaiada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 (2018)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0,8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Sobreposições soldadas ou coladas segundo as instruções do fabricante, sem pregas, e subida nos remates verticais até à cota de remate da impermeabilização.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Folha de deslizamento e proteção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 de folha de deslizamento e proteção do tipo </w:t>
      </w:r>
      <w:r>
        <w:rPr>
          <w:b/>
          <w:sz w:val="20"/>
        </w:rPr>
        <w:t>ND TSF-100</w:t>
      </w:r>
      <w:r>
        <w:rPr>
          <w:sz w:val="20"/>
        </w:rPr>
        <w:t xml:space="preserve"> da Nophadrain, ou equivalente previamente aprovado pela fiscalização, em polietileno de alta densidade (HDPE modificado), com 1 mm de espessura, sobre a impermeabilização, para proteção da impermeabilização contra as cargas de obra e os movimentos do substrato. Sobreposições de acordo com as instruções do fabricante.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camada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Espessura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por unidade de área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946 g/m²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Benefício de proteção a longo prazo sobre barreiras geossintéticas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ensaiado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13719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Comportamento sob tráfego simulado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ensaiado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 (Universidade Técnica de Munique)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Sistema de drenagem com filtro, reserva de água e proteção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A · ND 4+1h, pendente igual ou superior a 1:80]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colocação, sobre a folha de deslizamento e proteção, de sistema de drenagem </w:t>
      </w:r>
      <w:r>
        <w:rPr>
          <w:b/>
          <w:sz w:val="20"/>
        </w:rPr>
        <w:t>ND 4+1h</w:t>
      </w:r>
      <w:r>
        <w:rPr>
          <w:sz w:val="20"/>
        </w:rPr>
        <w:t xml:space="preserve"> da Nophadrain, com filtro, drenagem, reserva de água e proteção num só produto: núcleo alveolar em HIPS com reserva de água de 4,3 l/m², filtro em geotêxtil de PP e altura de construção de 17 mm, ou equivalente previamente aprovado pela fiscalização, incluindo sobreposições, cortes, remates junto de ralos, caixas de inspeção e bordos.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sistema de drenagem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Marcação CE e declaração de desempenho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obrigatórias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13252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compressão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600 kPa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25619-2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i = 1, a 20 kPa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7,61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pendente de 2 %, ≤ 20 kPa (cobertura verde intensiva)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1,19 l/(s·m)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com a pendente do projeto e a carga de uma cobertura intensiva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[valor calculado]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Reserva de água nos alvéolos, acessível às raízes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4,3 l/m²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Abertura de filtração O</w:t>
            </w:r>
            <w:r>
              <w:rPr>
                <w:color w:val="14202B"/>
                <w:sz w:val="17"/>
                <w:vertAlign w:val="subscript"/>
              </w:rPr>
              <w:t>90</w:t>
            </w:r>
            <w:r>
              <w:rPr>
                <w:color w:val="14202B"/>
                <w:sz w:val="17"/>
              </w:rPr>
              <w:t xml:space="preserve"> do geotêxtil filtrante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100 µm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12956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Permeabilidade à água H</w:t>
            </w:r>
            <w:r>
              <w:rPr>
                <w:color w:val="14202B"/>
                <w:sz w:val="17"/>
                <w:vertAlign w:val="subscript"/>
              </w:rPr>
              <w:t>50</w:t>
            </w:r>
            <w:r>
              <w:rPr>
                <w:color w:val="14202B"/>
                <w:sz w:val="17"/>
              </w:rPr>
              <w:t xml:space="preserve"> do geotêxtil filtrante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95 mm/s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11058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ao punçoamento estático CBR do geotêxtil filtrante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1,6 kN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12236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tração do geotêxtil filtrante (DM/DT)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9/10 kN/m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10319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(DoP4+1h-007) ou relatório de ensaio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B · ND 5+1, pendente inferior a 1:80]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colocação, sobre a folha de deslizamento e proteção, de sistema de drenagem </w:t>
      </w:r>
      <w:r>
        <w:rPr>
          <w:b/>
          <w:sz w:val="20"/>
        </w:rPr>
        <w:t>ND 5+1</w:t>
      </w:r>
      <w:r>
        <w:rPr>
          <w:sz w:val="20"/>
        </w:rPr>
        <w:t xml:space="preserve"> da Nophadrain, com filtro, drenagem, reserva de água e proteção num só produto: núcleo alveolar em HIPS com reserva de água de 5,8 l/m², filtro em geotêxtil de PP e altura de construção de 27,5 mm, ou equivalente previamente aprovado pela fiscalização, incluindo sobreposições, cortes, remates junto de ralos, caixas de inspeção e bordos.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sistema de drenagem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Marcação CE e declaração de desempenho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obrigatórias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13252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compressão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500 kPa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25619-2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i = 1, a 20 kPa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15,70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pendente de 2 %, ≤ 20 kPa (cobertura verde intensiva)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2,14 l/(s·m)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com a pendente do projeto e a carga de uma cobertura intensiva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[valor calculado] l/(s·m)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Reserva de água nos alvéolos, acessível às raízes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5,8 l/m²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Abertura de filtração O</w:t>
            </w:r>
            <w:r>
              <w:rPr>
                <w:color w:val="14202B"/>
                <w:sz w:val="17"/>
                <w:vertAlign w:val="subscript"/>
              </w:rPr>
              <w:t>90</w:t>
            </w:r>
            <w:r>
              <w:rPr>
                <w:color w:val="14202B"/>
                <w:sz w:val="17"/>
              </w:rPr>
              <w:t xml:space="preserve"> do geotêxtil filtrante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100 µm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12956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Permeabilidade à água H</w:t>
            </w:r>
            <w:r>
              <w:rPr>
                <w:color w:val="14202B"/>
                <w:sz w:val="17"/>
                <w:vertAlign w:val="subscript"/>
              </w:rPr>
              <w:t>50</w:t>
            </w:r>
            <w:r>
              <w:rPr>
                <w:color w:val="14202B"/>
                <w:sz w:val="17"/>
              </w:rPr>
              <w:t xml:space="preserve"> do geotêxtil filtrante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95 mm/s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11058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ao punçoamento estático CBR do geotêxtil filtrante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1,6 kN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12236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tração do geotêxtil filtrante (DM/DT)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9/10 kN/m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10319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 (DoP5+1-006) ou relatório de ensaio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Placa de reserva de água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· reserva de água adicional]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 de placas de reserva de água do tipo </w:t>
      </w:r>
      <w:r>
        <w:rPr>
          <w:b/>
          <w:sz w:val="20"/>
        </w:rPr>
        <w:t>ND WSM-50</w:t>
      </w:r>
      <w:r>
        <w:rPr>
          <w:sz w:val="20"/>
        </w:rPr>
        <w:t xml:space="preserve"> da Nophadrain, ou equivalente previamente aprovado pela fiscalização, em lã mineral hidrófila, com 50 mm de espessura, por cima do sistema de drenagem e sob o substrato.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placa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Água disponível para as plantas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40 l/m²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volúmica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120 kg/m³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 saturado (valor considerado no cálculo das cargas)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46 kg/m²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Conformidade com a norma de produto de lã mineral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cumpre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13162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Declaração de desempenho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Reação ao fogo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A1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13501-1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classificação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Substrato intensivo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espalhamento de substrato intensivo do tipo </w:t>
      </w:r>
      <w:r>
        <w:rPr>
          <w:b/>
          <w:sz w:val="20"/>
        </w:rPr>
        <w:t>ND DGS-I</w:t>
      </w:r>
      <w:r>
        <w:rPr>
          <w:sz w:val="20"/>
        </w:rPr>
        <w:t xml:space="preserve"> da Nophadrain, ou equivalente previamente aprovado pela fiscalização, mistura de substrato mineral e orgânico, com mais de 250 mm ([ ] mm por zona) de espessura final, conforme as peças desenhadas e as necessidades da vegetação de cada zona. A espessura indicada é a final: o substrato coloca-se com a sobre-espessura correspondente ao assentamento (cerca de 20 %).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substrato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Conformidade com as diretrizes FLL para substratos de coberturas verdes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substrato intensivo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máxima de retenção de água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44 % em volume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volúmica saturada (valor considerado no cálculo das cargas)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t/m³ (referência da ficha técnica: cerca de 1,4 t/m³)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volúmica seca (valor considerado na estabilidade ao vento)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t/m³ (referência da ficha técnica: cerca de 0,95 t/m³)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Teor de matéria orgânica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dentro dos limites das Diretrizes FLL para o tipo de substrato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Valor de pH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a 7,5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Granulometria e permeabilidade à água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dentro dos limites FLL para substrato intensivo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O substrato espalha-se a granel, por insuflação pneumática ou a partir de sacos, sem compactação mecânica e sem circulação de máquinas sobre as camadas inferiores. A espessura verifica-se em pontos marcados nas peças desenhadas.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Rega gota a gota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Sistema de rega gota a gota completo, com zonas separadas para relvado, arbustos e árvores, tubo gotejador autocompensante com válvula antirretorno na posição da opção adotada, anéis de tubo gotejador sobre o torrão de cada árvore, programador, sensores de humidade do substrato, eletroválvulas por zona, filtro, redutor de pressão e ligação à rede ou à cisterna, conforme o projeto de rega.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Vegetação intensiva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plantação de relvado, vivazes, arbustos e árvores, combinados com pavimentos, segundo o plano de plantação, incluindo preparação do substrato, ancoragem do torrão das árvores [sistema de ancoragem], rega de instalação e manutenção até à receção. Espécies e calibres: [lista do projeto]. Excluem-se as espécies das listas legais de espécies invasoras: Anexo II do Decreto-Lei n.º 92/2019 no Continente, Anexo II do Decreto Legislativo Regional n.º 17/2023/M na Região Autónoma da Madeira e Anexo IX do Decreto Legislativo Regional n.º 15/2012/A na Região Autónoma dos Açores.</w:t>
      </w:r>
    </w:p>
    <w:p>
      <w:pPr>
        <w:spacing w:before="0" w:after="100" w:line="288" w:lineRule="auto"/>
      </w:pPr>
      <w:r>
        <w:rPr>
          <w:b/>
          <w:sz w:val="20"/>
        </w:rPr>
        <w:t>Critério de aceitação.</w:t>
      </w:r>
      <w:r>
        <w:rPr>
          <w:sz w:val="20"/>
        </w:rPr>
        <w:t xml:space="preserve"> No fim do período de instalação, a taxa de sobrevivência das plantas é de pelo menos [ ] %, com reposição das plantas mortas a cargo do empreiteiro.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Faixas sem vegetação, ralos e caixas de inspeção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Faixas sem vegetação em seixo rolado (no mínimo 16/32) ou lajetas de betão junto dos ralos, das fachadas, dos bordos e dos atravessamentos, separadas do substrato por perfil de remate, e caixas de inspeção sobre os ralos, acessíveis e livres de vegetação. Larguras mínimas: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5783"/>
        <w:gridCol w:w="3855"/>
      </w:tblGrid>
      <w:tr>
        <w:trPr>
          <w:tblHeader w:val="true"/>
          <w:cantSplit/>
        </w:trPr>
        <w:tc>
          <w:tcPr>
            <w:tcW w:type="dxa" w:w="5783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Pormenor</w:t>
            </w:r>
          </w:p>
        </w:tc>
        <w:tc>
          <w:tcPr>
            <w:tcW w:type="dxa" w:w="385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recomendada</w:t>
            </w:r>
          </w:p>
        </w:tc>
      </w:tr>
      <w:tr>
        <w:trPr>
          <w:cantSplit/>
        </w:trPr>
        <w:tc>
          <w:tcPr>
            <w:tcW w:type="dxa" w:w="578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Ralo de cobertura</w:t>
            </w:r>
          </w:p>
        </w:tc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300 mm em todo o contorno</w:t>
            </w:r>
          </w:p>
        </w:tc>
      </w:tr>
      <w:tr>
        <w:trPr>
          <w:cantSplit/>
        </w:trPr>
        <w:tc>
          <w:tcPr>
            <w:tcW w:type="dxa" w:w="5783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Fachada</w:t>
            </w:r>
          </w:p>
        </w:tc>
        <w:tc>
          <w:tcPr>
            <w:tcW w:type="dxa" w:w="385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300 mm</w:t>
            </w:r>
          </w:p>
        </w:tc>
      </w:tr>
      <w:tr>
        <w:trPr>
          <w:cantSplit/>
        </w:trPr>
        <w:tc>
          <w:tcPr>
            <w:tcW w:type="dxa" w:w="5783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Bordo da cobertura</w:t>
            </w:r>
          </w:p>
        </w:tc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300 mm</w:t>
            </w:r>
          </w:p>
        </w:tc>
      </w:tr>
      <w:tr>
        <w:trPr>
          <w:cantSplit/>
        </w:trPr>
        <w:tc>
          <w:tcPr>
            <w:tcW w:type="dxa" w:w="5783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Atravessamento</w:t>
            </w:r>
          </w:p>
        </w:tc>
        <w:tc>
          <w:tcPr>
            <w:tcW w:type="dxa" w:w="385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300 mm</w:t>
            </w:r>
          </w:p>
        </w:tc>
      </w:tr>
    </w:tbl>
    <w:p>
      <w:pPr>
        <w:spacing w:before="0" w:after="80" w:line="240" w:lineRule="auto"/>
      </w:pP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Disposições comuns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Os trabalhos seguem as instruções do fabricante e o Guia Técnico da ANCV. Os materiais armazenam-se protegidos e os produtos sintéticos ficam cobertos pelas camadas seguintes no prazo indicado na respetiva ficha técnica. Não se circula com cargas sobre as camadas já colocadas sem proteção.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Ensaios e verificações</w:t>
      </w:r>
    </w:p>
    <w:p>
      <w:pPr>
        <w:pStyle w:val="ListBullet"/>
        <w:spacing w:before="0" w:after="40" w:line="276" w:lineRule="auto"/>
      </w:pPr>
      <w:r>
        <w:rPr>
          <w:sz w:val="20"/>
        </w:rPr>
        <w:t>Antes do substrato: verificação da continuidade do sistema de drenagem, das sobreposições, dos remates e da limpeza dos ralos e caixas de inspeção.</w:t>
      </w:r>
    </w:p>
    <w:p>
      <w:pPr>
        <w:pStyle w:val="ListBullet"/>
        <w:spacing w:before="0" w:after="40" w:line="276" w:lineRule="auto"/>
      </w:pPr>
      <w:r>
        <w:rPr>
          <w:sz w:val="20"/>
        </w:rPr>
        <w:t>Espessura final do substrato, medida nos pontos marcados nas peças desenhadas.</w:t>
      </w:r>
    </w:p>
    <w:p>
      <w:pPr>
        <w:pStyle w:val="ListBullet"/>
        <w:spacing w:before="0" w:after="40" w:line="276" w:lineRule="auto"/>
      </w:pPr>
      <w:r>
        <w:rPr>
          <w:sz w:val="20"/>
        </w:rPr>
        <w:t>Ensaio de funcionamento da rega por zona: pressão, débito, estanquidade das ligações e funcionamento do programador e do sensor de humidade.</w:t>
      </w:r>
    </w:p>
    <w:p>
      <w:pPr>
        <w:pStyle w:val="ListBullet"/>
        <w:spacing w:before="0" w:after="40" w:line="276" w:lineRule="auto"/>
      </w:pPr>
      <w:r>
        <w:rPr>
          <w:sz w:val="20"/>
        </w:rPr>
        <w:t>Verificação da ancoragem das árvores.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Verificação, com a fiscalização, das camadas executadas, das guias de remessa e dos lotes de cada material, da cobertura vegetal, das faixas sem vegetação, dos ralos e das caixas de inspeção. A receção provisória da vegetação faz-se depois do período de instalação definido no projeto: [ ] meses.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As do fabricante para os produtos; as do empreiteiro para a execução, nos termos legais. A garantia da vegetação fica condicionada à manutenção segundo o plano entregue.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Fichas técnicas, declarações de desempenho dos sistemas de drenagem, relatórios de ensaio do substrato e da barreira antirraiz quando aplicada, telas finais da rega e plano de manutenção.</w:t>
      </w: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Coberturas · Cobertura verde intensiva.</w:t>
      </w:r>
    </w:p>
    <w:p>
      <w:pPr>
        <w:spacing w:before="0" w:after="100" w:line="288" w:lineRule="auto"/>
      </w:pPr>
      <w:r>
        <w:rPr>
          <w:b/>
          <w:sz w:val="20"/>
        </w:rPr>
        <w:t>Critério de medição:</w:t>
      </w:r>
      <w:r>
        <w:rPr>
          <w:sz w:val="20"/>
        </w:rPr>
        <w:t xml:space="preserve"> camadas por área (m²); árvores e arbustos por unidade (un.); restantes plantações e relvado por área (m²); caixas de inspeção por unidade (un.).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Barreira antirraiz ND WSB-80, ou equivalente, incluindo remates verticais (só quando a impermeabilização não é resistente a raízes)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Folha de deslizamento e proteção ND TSF-100, ou equivalente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Sistema de drenagem com filtro, reserva de água e proteção [ND 4+1h | ND 5+1], ou equivalente,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Placa de reserva de água ND WSM-50, ou equivalente, 50 mm (opcional)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Substrato intensivo ND DGS-I, ou equivalente, [ ] mm de espessura final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Rega gota a gota por zonas, opção [A | B], incluindo anéis de rega das árvores, programador e sensores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Relvado e herbáceas, segundo o plano de plantação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Arbusto [espécie, calibre]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Árvore [espécie, perímetro], incluindo ancoragem do torrão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Faixa sem vegetação em seixo rolado 16/32 ou lajetas, com perfil de remate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Caixa de inspeção sobre ralo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3F5F0"/>
            <w:tcBorders>
              <w:left w:val="single" w:sz="18" w:color="4F6B2A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 impermeabilização mede-se no capítulo próprio. Áreas medidas em projeção horizontal, sem descontar vãos inferiores a [1] m².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das fichas técnicas Nophadrain publicadas pela archiroof, das páginas de soluções e da calculadora archiroof. Os valores declarados são os do fabricante e podem ser alterados por ele; a versão em vigor confirma-se antes de prescrever. Espessuras de substrato, pendentes, faixas sem vegetação, rega, cargas da vegetação e lastro contra o vento: Guia Técnico da Associação Nacional de Coberturas Verdes (ANCV), com os quadros 14 (segundo as Diretrizes FLL, 2018) e 15 (segundo a NTJ 11C, 2012).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4F6B2A"/>
      </w:pBdr>
    </w:pPr>
    <w:r>
      <w:rPr>
        <w:b/>
        <w:color w:val="4F6B2A"/>
        <w:sz w:val="16"/>
      </w:rPr>
      <w:t>archiroof.pt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A archiroof é distribuidora em Portugal dos sistemas Nophadrain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Cobertura verde intensiva Nophadrain · archiroof.pt · Nophadrain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9340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roo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40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84000" cy="216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nophadrain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00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FE4D9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Cobertura verde intensiva · archiroof</dc:title>
  <dc:subject>Memória descritiva, caderno de encargos e mapa de quantidades</dc:subject>
  <dc:creator>archiroof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