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40" w:lineRule="auto"/>
      </w:pPr>
      <w:r>
        <w:rPr>
          <w:b/>
          <w:color w:val="4F6B2A"/>
          <w:sz w:val="15"/>
        </w:rPr>
        <w:t>TEXTO DE ESPECIFICAÇÃO · ARCHIROOF</w:t>
      </w:r>
    </w:p>
    <w:p>
      <w:pPr>
        <w:spacing w:before="0" w:after="60" w:line="252" w:lineRule="auto"/>
      </w:pPr>
      <w:r>
        <w:rPr>
          <w:b/>
          <w:color w:val="14202B"/>
          <w:sz w:val="40"/>
        </w:rPr>
        <w:t>Cobertura transitável Nophadrain</w:t>
      </w:r>
    </w:p>
    <w:p>
      <w:pPr>
        <w:spacing w:before="0" w:after="200" w:line="264" w:lineRule="auto"/>
        <w:pBdr>
          <w:bottom w:val="single" w:sz="8" w:space="4" w:color="4F6B2A"/>
        </w:pBdr>
      </w:pPr>
      <w:r>
        <w:rPr>
          <w:color w:val="55606E"/>
          <w:sz w:val="21"/>
        </w:rPr>
        <w:t>Memória descritiva · caderno de encargos · mapa de quantidades</w:t>
      </w:r>
    </w:p>
    <w:tbl>
      <w:tblPr>
        <w:tblW w:type="auto" w:w="0"/>
        <w:tblLayout w:type="fixed"/>
        <w:tblLook w:firstColumn="1" w:firstRow="1" w:lastColumn="0" w:lastRow="0" w:noHBand="0" w:noVBand="1" w:val="04A0"/>
        <w:tblLayout w:type="fixed"/>
        <w:tblCellMar>
          <w:top w:w="113" w:type="dxa"/>
          <w:bottom w:w="113" w:type="dxa"/>
          <w:left w:w="170" w:type="dxa"/>
          <w:right w:w="170" w:type="dxa"/>
        </w:tblCellMar>
      </w:tblPr>
      <w:tblGrid>
        <w:gridCol w:w="9638"/>
      </w:tblGrid>
      <w:tr>
        <w:tc>
          <w:tcPr>
            <w:tcW w:type="dxa" w:w="9638"/>
            <w:shd w:val="clear" w:color="auto" w:fill="F3F5F0"/>
            <w:tcBorders>
              <w:left w:val="single" w:sz="18" w:color="4F6B2A"/>
            </w:tcBorders>
          </w:tcPr>
          <w:p>
            <w:pPr>
              <w:spacing w:before="0" w:after="0" w:line="276" w:lineRule="auto"/>
            </w:pPr>
            <w:r>
              <w:rPr>
                <w:color w:val="14202B"/>
                <w:sz w:val="18"/>
              </w:rPr>
              <w:t>Os campos entre parênteses retos [ ] completam-se com os dados do projeto. Quando um parágrafo apresenta opções, mantém-se apenas a que corresponde à solução adotada e eliminam-se as restantes. Os valores são os da base de dados archiroof e coincidem com os das fichas técnicas e da calculadora archiroof. O documento destina-se a ser copiado para a memória descritiva, o caderno de encargos e o mapa de quantidades do projeto.</w:t>
            </w:r>
          </w:p>
        </w:tc>
      </w:tr>
    </w:tbl>
    <w:p>
      <w:pPr>
        <w:spacing w:after="0"/>
      </w:pPr>
    </w:p>
    <w:p>
      <w:pPr>
        <w:keepNext/>
        <w:spacing w:before="280" w:after="100" w:line="252" w:lineRule="auto"/>
        <w:pBdr>
          <w:bottom w:val="single" w:sz="6" w:space="4" w:color="DFE4D9"/>
        </w:pBdr>
      </w:pPr>
      <w:r>
        <w:rPr>
          <w:b/>
          <w:color w:val="4F6B2A"/>
          <w:sz w:val="27"/>
        </w:rPr>
        <w:t>1. Memória descritiva</w:t>
      </w:r>
    </w:p>
    <w:p>
      <w:pPr>
        <w:spacing w:before="0" w:after="100" w:line="288" w:lineRule="auto"/>
      </w:pPr>
      <w:r>
        <w:rPr>
          <w:sz w:val="20"/>
        </w:rPr>
        <w:t>Texto justificativo para integrar na memória descritiva do projeto de arquitetura ou de arquitetura paisagista.</w:t>
      </w:r>
    </w:p>
    <w:p>
      <w:pPr>
        <w:keepNext/>
        <w:spacing w:before="160" w:after="60" w:line="264" w:lineRule="auto"/>
      </w:pPr>
      <w:r>
        <w:rPr>
          <w:b/>
          <w:color w:val="14202B"/>
          <w:sz w:val="21"/>
        </w:rPr>
        <w:t>Solução</w:t>
      </w:r>
    </w:p>
    <w:p>
      <w:pPr>
        <w:spacing w:before="0" w:after="100" w:line="288" w:lineRule="auto"/>
      </w:pPr>
      <w:r>
        <w:rPr>
          <w:sz w:val="20"/>
        </w:rPr>
        <w:t>Prevê-se uma cobertura transitável sobre laje, com uma área de [ ] m², com pavimento modular sobre camada de assentamento, sistema de drenagem com filtro tecido e camada de deslizamento, para a classe de carga [N1 peões | N2 automóveis ligeiros | N3 veículos pesados, incluindo acesso de bombeiros]. Os canteiros integrados no pavimento seguem os textos de especificação da cobertura semi-intensiva ou intensiva.</w:t>
      </w:r>
    </w:p>
    <w:p>
      <w:pPr>
        <w:keepNext/>
        <w:spacing w:before="160" w:after="60" w:line="264" w:lineRule="auto"/>
      </w:pPr>
      <w:r>
        <w:rPr>
          <w:b/>
          <w:color w:val="14202B"/>
          <w:sz w:val="21"/>
        </w:rPr>
        <w:t>Constituição</w:t>
      </w:r>
    </w:p>
    <w:p>
      <w:pPr>
        <w:spacing w:before="0" w:after="100" w:line="288" w:lineRule="auto"/>
      </w:pPr>
      <w:r>
        <w:rPr>
          <w:sz w:val="20"/>
        </w:rPr>
        <w:t>De cima para baixo:</w:t>
      </w:r>
    </w:p>
    <w:p>
      <w:pPr>
        <w:pStyle w:val="ListBullet"/>
        <w:spacing w:before="0" w:after="40" w:line="276" w:lineRule="auto"/>
      </w:pPr>
      <w:r>
        <w:rPr>
          <w:b/>
          <w:sz w:val="20"/>
        </w:rPr>
        <w:t>Pavimento modular</w:t>
      </w:r>
      <w:r>
        <w:rPr>
          <w:sz w:val="20"/>
        </w:rPr>
        <w:t xml:space="preserve"> (≥ 40 mm, N1) a ≥ 110 mm (N2): lajetas, blocos ou lajes de grande formato, com pendente mínima de 2 % (peões) ou 2,5 % (veículos).</w:t>
      </w:r>
    </w:p>
    <w:p>
      <w:pPr>
        <w:pStyle w:val="ListBullet"/>
        <w:spacing w:before="0" w:after="40" w:line="276" w:lineRule="auto"/>
      </w:pPr>
      <w:r>
        <w:rPr>
          <w:b/>
          <w:sz w:val="20"/>
        </w:rPr>
        <w:t>Camada de assentamento</w:t>
      </w:r>
      <w:r>
        <w:rPr>
          <w:sz w:val="20"/>
        </w:rPr>
        <w:t xml:space="preserve"> (30 a 50 mm): seixo rolado ou areia britada, não compactada.</w:t>
      </w:r>
    </w:p>
    <w:p>
      <w:pPr>
        <w:pStyle w:val="ListBullet"/>
        <w:spacing w:before="0" w:after="40" w:line="276" w:lineRule="auto"/>
      </w:pPr>
      <w:r>
        <w:rPr>
          <w:b/>
          <w:sz w:val="20"/>
        </w:rPr>
        <w:t>Drenagem com filtro tecido</w:t>
      </w:r>
      <w:r>
        <w:rPr>
          <w:sz w:val="20"/>
        </w:rPr>
        <w:t xml:space="preserve"> (12,5 mm): núcleo de 700 a 1200 kPa, consoante a classe de carga, com filtro tecido monofilamento. Produto de referência: ND 220 (N1), ND 620 (N2), ND 620hd (N3).</w:t>
      </w:r>
    </w:p>
    <w:p>
      <w:pPr>
        <w:pStyle w:val="ListBullet"/>
        <w:spacing w:before="0" w:after="40" w:line="276" w:lineRule="auto"/>
      </w:pPr>
      <w:r>
        <w:rPr>
          <w:b/>
          <w:sz w:val="20"/>
        </w:rPr>
        <w:t>Camada de deslizamento</w:t>
      </w:r>
      <w:r>
        <w:rPr>
          <w:sz w:val="20"/>
        </w:rPr>
        <w:t xml:space="preserve"> (0,2 a 1 mm): impede a transmissão das forças de travagem e viragem à impermeabilização. Produto de referência: ND TGF-20 ou ND TSF-100.</w:t>
      </w:r>
    </w:p>
    <w:p>
      <w:pPr>
        <w:pStyle w:val="ListBullet"/>
        <w:spacing w:before="0" w:after="40" w:line="276" w:lineRule="auto"/>
      </w:pPr>
      <w:r>
        <w:rPr>
          <w:b/>
          <w:sz w:val="20"/>
        </w:rPr>
        <w:t>Impermeabilização</w:t>
      </w:r>
      <w:r>
        <w:rPr>
          <w:sz w:val="20"/>
        </w:rPr>
        <w:t>: qualquer sistema, betuminoso, PVC, EPDM ou líquido. Resistente a raízes, ou complementado com barreira antirraiz.</w:t>
      </w:r>
    </w:p>
    <w:p>
      <w:pPr>
        <w:pStyle w:val="ListBullet"/>
        <w:spacing w:before="0" w:after="40" w:line="276" w:lineRule="auto"/>
      </w:pPr>
      <w:r>
        <w:rPr>
          <w:b/>
          <w:sz w:val="20"/>
        </w:rPr>
        <w:t>Laje de cobertura</w:t>
      </w:r>
      <w:r>
        <w:rPr>
          <w:sz w:val="20"/>
        </w:rPr>
        <w:t>: suporte estrutural, com pendente de 2 % ou mais.</w:t>
      </w:r>
    </w:p>
    <w:p>
      <w:pPr>
        <w:spacing w:before="0" w:after="100" w:line="288" w:lineRule="auto"/>
      </w:pPr>
      <w:r>
        <w:rPr>
          <w:sz w:val="20"/>
        </w:rPr>
        <w:t>O sistema aplica-se sobre qualquer impermeabilização (betuminosa, PVC, EPDM, líquida), resistente a raízes ou com barreira antirraiz. A impermeabilização, os seus remates e o respetivo ensaio são objeto de capítulo próprio do projeto e não fazem parte deste texto.</w:t>
      </w:r>
    </w:p>
    <w:p>
      <w:pPr>
        <w:keepNext/>
        <w:spacing w:before="160" w:after="60" w:line="264" w:lineRule="auto"/>
      </w:pPr>
      <w:r>
        <w:rPr>
          <w:b/>
          <w:color w:val="14202B"/>
          <w:sz w:val="21"/>
        </w:rPr>
        <w:t>Classes de carga</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277"/>
        <w:gridCol w:w="2120"/>
        <w:gridCol w:w="2120"/>
        <w:gridCol w:w="2120"/>
      </w:tblGrid>
      <w:tr>
        <w:trPr>
          <w:tblHeader w:val="true"/>
          <w:cantSplit/>
        </w:trPr>
        <w:tc>
          <w:tcPr>
            <w:tcW w:type="dxa" w:w="3277"/>
            <w:shd w:val="clear" w:color="auto" w:fill="4F6B2A"/>
          </w:tcPr>
          <w:p>
            <w:pPr>
              <w:spacing w:before="0" w:after="0" w:line="252" w:lineRule="auto"/>
            </w:pPr>
            <w:r>
              <w:rPr>
                <w:b/>
                <w:color w:val="FFFFFF"/>
                <w:sz w:val="16"/>
              </w:rPr>
              <w:t>Classe</w:t>
            </w:r>
          </w:p>
        </w:tc>
        <w:tc>
          <w:tcPr>
            <w:tcW w:type="dxa" w:w="2120"/>
            <w:shd w:val="clear" w:color="auto" w:fill="4F6B2A"/>
          </w:tcPr>
          <w:p>
            <w:pPr>
              <w:spacing w:before="0" w:after="0" w:line="252" w:lineRule="auto"/>
            </w:pPr>
            <w:r>
              <w:rPr>
                <w:b/>
                <w:color w:val="FFFFFF"/>
                <w:sz w:val="16"/>
              </w:rPr>
              <w:t>Drenagem</w:t>
            </w:r>
          </w:p>
        </w:tc>
        <w:tc>
          <w:tcPr>
            <w:tcW w:type="dxa" w:w="2120"/>
            <w:shd w:val="clear" w:color="auto" w:fill="4F6B2A"/>
          </w:tcPr>
          <w:p>
            <w:pPr>
              <w:spacing w:before="0" w:after="0" w:line="252" w:lineRule="auto"/>
            </w:pPr>
            <w:r>
              <w:rPr>
                <w:b/>
                <w:color w:val="FFFFFF"/>
                <w:sz w:val="16"/>
              </w:rPr>
              <w:t>Deslizamento</w:t>
            </w:r>
          </w:p>
        </w:tc>
        <w:tc>
          <w:tcPr>
            <w:tcW w:type="dxa" w:w="2120"/>
            <w:shd w:val="clear" w:color="auto" w:fill="4F6B2A"/>
          </w:tcPr>
          <w:p>
            <w:pPr>
              <w:spacing w:before="0" w:after="0" w:line="252" w:lineRule="auto"/>
            </w:pPr>
            <w:r>
              <w:rPr>
                <w:b/>
                <w:color w:val="FFFFFF"/>
                <w:sz w:val="16"/>
              </w:rPr>
              <w:t>Pavimento mínimo</w:t>
            </w:r>
          </w:p>
        </w:tc>
      </w:tr>
      <w:tr>
        <w:trPr>
          <w:cantSplit/>
        </w:trPr>
        <w:tc>
          <w:tcPr>
            <w:tcW w:type="dxa" w:w="3277"/>
          </w:tcPr>
          <w:p>
            <w:pPr>
              <w:spacing w:before="0" w:after="0" w:line="264" w:lineRule="auto"/>
            </w:pPr>
            <w:r>
              <w:rPr>
                <w:color w:val="14202B"/>
                <w:sz w:val="17"/>
              </w:rPr>
              <w:t>N1: peões</w:t>
            </w:r>
          </w:p>
        </w:tc>
        <w:tc>
          <w:tcPr>
            <w:tcW w:type="dxa" w:w="2120"/>
          </w:tcPr>
          <w:p>
            <w:pPr>
              <w:spacing w:before="0" w:after="0" w:line="264" w:lineRule="auto"/>
            </w:pPr>
            <w:r>
              <w:rPr>
                <w:color w:val="14202B"/>
                <w:sz w:val="17"/>
              </w:rPr>
              <w:t>ND 220</w:t>
            </w:r>
          </w:p>
        </w:tc>
        <w:tc>
          <w:tcPr>
            <w:tcW w:type="dxa" w:w="2120"/>
          </w:tcPr>
          <w:p>
            <w:pPr>
              <w:spacing w:before="0" w:after="0" w:line="264" w:lineRule="auto"/>
            </w:pPr>
            <w:r>
              <w:rPr>
                <w:color w:val="14202B"/>
                <w:sz w:val="17"/>
              </w:rPr>
              <w:t>ND TGF-20</w:t>
            </w:r>
          </w:p>
        </w:tc>
        <w:tc>
          <w:tcPr>
            <w:tcW w:type="dxa" w:w="2120"/>
          </w:tcPr>
          <w:p>
            <w:pPr>
              <w:spacing w:before="0" w:after="0" w:line="264" w:lineRule="auto"/>
            </w:pPr>
            <w:r>
              <w:rPr>
                <w:color w:val="14202B"/>
                <w:sz w:val="17"/>
              </w:rPr>
              <w:t>≥ 40 mm</w:t>
            </w:r>
          </w:p>
        </w:tc>
      </w:tr>
      <w:tr>
        <w:trPr>
          <w:cantSplit/>
        </w:trPr>
        <w:tc>
          <w:tcPr>
            <w:tcW w:type="dxa" w:w="3277"/>
            <w:shd w:val="clear" w:color="auto" w:fill="F8F9F6"/>
          </w:tcPr>
          <w:p>
            <w:pPr>
              <w:spacing w:before="0" w:after="0" w:line="264" w:lineRule="auto"/>
            </w:pPr>
            <w:r>
              <w:rPr>
                <w:color w:val="14202B"/>
                <w:sz w:val="17"/>
              </w:rPr>
              <w:t>N2: automóveis ligeiros</w:t>
            </w:r>
          </w:p>
        </w:tc>
        <w:tc>
          <w:tcPr>
            <w:tcW w:type="dxa" w:w="2120"/>
            <w:shd w:val="clear" w:color="auto" w:fill="F8F9F6"/>
          </w:tcPr>
          <w:p>
            <w:pPr>
              <w:spacing w:before="0" w:after="0" w:line="264" w:lineRule="auto"/>
            </w:pPr>
            <w:r>
              <w:rPr>
                <w:color w:val="14202B"/>
                <w:sz w:val="17"/>
              </w:rPr>
              <w:t>ND 620</w:t>
            </w:r>
          </w:p>
        </w:tc>
        <w:tc>
          <w:tcPr>
            <w:tcW w:type="dxa" w:w="2120"/>
            <w:shd w:val="clear" w:color="auto" w:fill="F8F9F6"/>
          </w:tcPr>
          <w:p>
            <w:pPr>
              <w:spacing w:before="0" w:after="0" w:line="264" w:lineRule="auto"/>
            </w:pPr>
            <w:r>
              <w:rPr>
                <w:color w:val="14202B"/>
                <w:sz w:val="17"/>
              </w:rPr>
              <w:t>ND TSF-100</w:t>
            </w:r>
          </w:p>
        </w:tc>
        <w:tc>
          <w:tcPr>
            <w:tcW w:type="dxa" w:w="2120"/>
            <w:shd w:val="clear" w:color="auto" w:fill="F8F9F6"/>
          </w:tcPr>
          <w:p>
            <w:pPr>
              <w:spacing w:before="0" w:after="0" w:line="264" w:lineRule="auto"/>
            </w:pPr>
            <w:r>
              <w:rPr>
                <w:color w:val="14202B"/>
                <w:sz w:val="17"/>
              </w:rPr>
              <w:t>≥ 110 mm</w:t>
            </w:r>
          </w:p>
        </w:tc>
      </w:tr>
      <w:tr>
        <w:trPr>
          <w:cantSplit/>
        </w:trPr>
        <w:tc>
          <w:tcPr>
            <w:tcW w:type="dxa" w:w="3277"/>
          </w:tcPr>
          <w:p>
            <w:pPr>
              <w:spacing w:before="0" w:after="0" w:line="264" w:lineRule="auto"/>
            </w:pPr>
            <w:r>
              <w:rPr>
                <w:color w:val="14202B"/>
                <w:sz w:val="17"/>
              </w:rPr>
              <w:t>N3: veículos pesados</w:t>
            </w:r>
          </w:p>
        </w:tc>
        <w:tc>
          <w:tcPr>
            <w:tcW w:type="dxa" w:w="2120"/>
          </w:tcPr>
          <w:p>
            <w:pPr>
              <w:spacing w:before="0" w:after="0" w:line="264" w:lineRule="auto"/>
            </w:pPr>
            <w:r>
              <w:rPr>
                <w:color w:val="14202B"/>
                <w:sz w:val="17"/>
              </w:rPr>
              <w:t>ND 620hd</w:t>
            </w:r>
          </w:p>
        </w:tc>
        <w:tc>
          <w:tcPr>
            <w:tcW w:type="dxa" w:w="2120"/>
          </w:tcPr>
          <w:p>
            <w:pPr>
              <w:spacing w:before="0" w:after="0" w:line="264" w:lineRule="auto"/>
            </w:pPr>
            <w:r>
              <w:rPr>
                <w:color w:val="14202B"/>
                <w:sz w:val="17"/>
              </w:rPr>
              <w:t>ND TSF-100</w:t>
            </w:r>
          </w:p>
        </w:tc>
        <w:tc>
          <w:tcPr>
            <w:tcW w:type="dxa" w:w="2120"/>
          </w:tcPr>
          <w:p>
            <w:pPr>
              <w:spacing w:before="0" w:after="0" w:line="264" w:lineRule="auto"/>
            </w:pPr>
            <w:r>
              <w:rPr>
                <w:color w:val="14202B"/>
                <w:sz w:val="17"/>
              </w:rPr>
              <w:t>≥ 110 mm</w:t>
            </w:r>
          </w:p>
        </w:tc>
      </w:tr>
    </w:tbl>
    <w:p>
      <w:pPr>
        <w:spacing w:before="0" w:after="80" w:line="240" w:lineRule="auto"/>
      </w:pPr>
    </w:p>
    <w:p>
      <w:pPr>
        <w:spacing w:before="0" w:after="100" w:line="288" w:lineRule="auto"/>
      </w:pPr>
      <w:r>
        <w:rPr>
          <w:sz w:val="20"/>
        </w:rPr>
        <w:t>Pesos indicativos do sistema, a confirmar no projeto com o pavimento escolhido: N1, peões: desde ≈ 138 kg/m²; N2, automóveis: desde ≈ 314 kg/m²; N3, pesados: desde ≈ 620 kg/m². Inclinação da laje: 1–5°.</w:t>
      </w:r>
    </w:p>
    <w:p>
      <w:pPr>
        <w:spacing w:before="0" w:after="100" w:line="288" w:lineRule="auto"/>
      </w:pPr>
      <w:r>
        <w:rPr>
          <w:sz w:val="20"/>
        </w:rPr>
        <w:t>O peso entra no cálculo estrutural com as sobrecargas de utilização e de tráfego da classe adotada (NP EN 1991-1-1).</w:t>
      </w:r>
    </w:p>
    <w:p>
      <w:pPr>
        <w:keepNext/>
        <w:spacing w:before="160" w:after="60" w:line="264" w:lineRule="auto"/>
      </w:pPr>
      <w:r>
        <w:rPr>
          <w:b/>
          <w:color w:val="14202B"/>
          <w:sz w:val="21"/>
        </w:rPr>
        <w:t>Drenagem e pendentes</w:t>
      </w:r>
    </w:p>
    <w:p>
      <w:pPr>
        <w:spacing w:before="0" w:after="100" w:line="288" w:lineRule="auto"/>
      </w:pPr>
      <w:r>
        <w:rPr>
          <w:sz w:val="20"/>
        </w:rPr>
        <w:t>Pendente mínima do pavimento: 2 % (peões) ou 2,5 % (veículos). A água infiltra-se pelas juntas e escoa no plano do sistema de drenagem até aos ralos. A capacidade de drenagem no plano exigida calcula-se por q' = A × C × r / L, em que A é a área a drenar (m²), C o coeficiente de escoamento, r a intensidade da chuvada de projeto (l/(s·m²)) e L o comprimento do bordo para onde a água escoa (m). A intensidade da chuvada de projeto resulta das curvas intensidade-duração-frequência do Decreto Regulamentar n.º 23/95 (Anexo IX), para a região pluviométrica do local (A, B ou C, incluindo as Regiões Autónomas) e o período de retorno adotado.</w:t>
      </w:r>
    </w:p>
    <w:p>
      <w:pPr>
        <w:keepNext/>
        <w:spacing w:before="160" w:after="60" w:line="264" w:lineRule="auto"/>
      </w:pPr>
      <w:r>
        <w:rPr>
          <w:b/>
          <w:color w:val="14202B"/>
          <w:sz w:val="21"/>
        </w:rPr>
        <w:t>Ensaios do sistema</w:t>
      </w:r>
    </w:p>
    <w:p>
      <w:pPr>
        <w:spacing w:before="0" w:after="100" w:line="288" w:lineRule="auto"/>
      </w:pPr>
      <w:r>
        <w:rPr>
          <w:sz w:val="20"/>
        </w:rPr>
        <w:t>Os sistemas Nophadrain para veículos foram ensaiados com cargas móveis na Universidade Técnica de Munique, com relatório disponível a pedido.</w:t>
      </w:r>
    </w:p>
    <w:p>
      <w:pPr>
        <w:keepNext/>
        <w:spacing w:before="160" w:after="60" w:line="264" w:lineRule="auto"/>
      </w:pPr>
      <w:r>
        <w:rPr>
          <w:b/>
          <w:color w:val="14202B"/>
          <w:sz w:val="21"/>
        </w:rPr>
        <w:t>Manutenção</w:t>
      </w:r>
    </w:p>
    <w:p>
      <w:pPr>
        <w:spacing w:before="0" w:after="100" w:line="288" w:lineRule="auto"/>
      </w:pPr>
      <w:r>
        <w:rPr>
          <w:sz w:val="20"/>
        </w:rPr>
        <w:t>Limpeza das grelhas, caleiras e ralos e verificação das juntas do pavimento. O pavimento modular permite reparações localizadas.</w:t>
      </w:r>
    </w:p>
    <w:p>
      <w:pPr>
        <w:keepNext/>
        <w:spacing w:before="160" w:after="60" w:line="264" w:lineRule="auto"/>
      </w:pPr>
      <w:r>
        <w:rPr>
          <w:b/>
          <w:color w:val="14202B"/>
          <w:sz w:val="21"/>
        </w:rPr>
        <w:t>Síntese</w:t>
      </w:r>
    </w:p>
    <w:p>
      <w:pPr>
        <w:spacing w:before="0" w:after="100" w:line="288" w:lineRule="auto"/>
      </w:pPr>
      <w:r>
        <w:rPr>
          <w:sz w:val="20"/>
        </w:rPr>
        <w:t>Cobertura transitável Nophadrain para a classe de carga [N1 | N2 | N3], com camada de deslizamento [ND TGF-20 | ND TSF-100], sistema de drenagem com filtro tecido [ND 220 | ND 620 | ND 620hd | ND 600sv], camada de assentamento de 30 a 50 mm e pavimento modular com [ ] mm, em [ ] m².</w:t>
      </w:r>
    </w:p>
    <w:p>
      <w:pPr>
        <w:keepNext/>
        <w:spacing w:before="280" w:after="100" w:line="252" w:lineRule="auto"/>
        <w:pBdr>
          <w:bottom w:val="single" w:sz="6" w:space="4" w:color="DFE4D9"/>
        </w:pBdr>
      </w:pPr>
      <w:r>
        <w:rPr>
          <w:b/>
          <w:color w:val="4F6B2A"/>
          <w:sz w:val="27"/>
        </w:rPr>
        <w:t>2. Caderno de encargos</w:t>
      </w:r>
    </w:p>
    <w:p>
      <w:pPr>
        <w:spacing w:before="0" w:after="100" w:line="288" w:lineRule="auto"/>
      </w:pPr>
      <w:r>
        <w:rPr>
          <w:sz w:val="20"/>
        </w:rPr>
        <w:t>Todos os artigos incluem o fornecimento, o transporte, a colocação e os trabalhos acessórios necessários.</w:t>
      </w:r>
    </w:p>
    <w:p>
      <w:pPr>
        <w:keepNext/>
        <w:spacing w:before="160" w:after="60" w:line="264" w:lineRule="auto"/>
      </w:pPr>
      <w:r>
        <w:rPr>
          <w:b/>
          <w:color w:val="14202B"/>
          <w:sz w:val="21"/>
        </w:rPr>
        <w:t>Artigo [n.º] · Camada de deslizamento</w:t>
      </w:r>
    </w:p>
    <w:p>
      <w:pPr>
        <w:keepNext/>
        <w:spacing w:before="80" w:after="40" w:line="264" w:lineRule="auto"/>
      </w:pPr>
      <w:r>
        <w:rPr>
          <w:b/>
          <w:i w:val="0"/>
          <w:color w:val="4F6B2A"/>
          <w:sz w:val="18"/>
        </w:rPr>
        <w:t>[Opção A · classe N1, ND TGF-20]</w:t>
      </w:r>
    </w:p>
    <w:p>
      <w:pPr>
        <w:spacing w:before="0" w:after="100" w:line="288" w:lineRule="auto"/>
      </w:pPr>
      <w:r>
        <w:rPr>
          <w:b/>
          <w:sz w:val="20"/>
        </w:rPr>
        <w:t>Descrição.</w:t>
      </w:r>
      <w:r>
        <w:rPr>
          <w:sz w:val="20"/>
        </w:rPr>
        <w:t xml:space="preserve"> Fornecimento e colocação de película de separação e deslizamento do tipo </w:t>
      </w:r>
      <w:r>
        <w:rPr>
          <w:b/>
          <w:sz w:val="20"/>
        </w:rPr>
        <w:t>ND TGF-20</w:t>
      </w:r>
      <w:r>
        <w:rPr>
          <w:sz w:val="20"/>
        </w:rPr>
        <w:t xml:space="preserve"> da Nophadrain, ou equivalente previamente aprovado pela fiscalização, em polietileno reciclado de baixa densidade (LDPE modificado), com 0,2 mm de espessura, sobre a impermeabilização, para impedir a transmissão de esforços horizontais à impermeabilização. Sobreposições de acordo com as instruções do fabricante.</w:t>
      </w:r>
    </w:p>
    <w:p>
      <w:pPr>
        <w:keepNext/>
        <w:spacing w:before="0" w:after="100" w:line="288" w:lineRule="auto"/>
      </w:pPr>
      <w:r>
        <w:rPr>
          <w:b/>
          <w:sz w:val="20"/>
        </w:rPr>
        <w:t>Quadro de desempenho exigido.</w:t>
      </w:r>
      <w:r>
        <w:rPr>
          <w:sz w:val="20"/>
        </w:rPr>
        <w:t xml:space="preserve"> A camada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Espessura</w:t>
            </w:r>
          </w:p>
        </w:tc>
        <w:tc>
          <w:tcPr>
            <w:tcW w:type="dxa" w:w="2795"/>
          </w:tcPr>
          <w:p>
            <w:pPr>
              <w:spacing w:before="0" w:after="0" w:line="264" w:lineRule="auto"/>
            </w:pPr>
            <w:r>
              <w:rPr>
                <w:color w:val="14202B"/>
                <w:sz w:val="17"/>
              </w:rPr>
              <w:t>≥ 0,2 mm</w:t>
            </w:r>
          </w:p>
        </w:tc>
        <w:tc>
          <w:tcPr>
            <w:tcW w:type="dxa" w:w="1638"/>
          </w:tcPr>
          <w:p>
            <w:pPr>
              <w:spacing w:before="0" w:after="0" w:line="264" w:lineRule="auto"/>
            </w:pPr>
            <w:r>
              <w:rPr>
                <w:color w:val="14202B"/>
                <w:sz w:val="17"/>
              </w:rPr>
              <w:t>—</w:t>
            </w:r>
          </w:p>
        </w:tc>
        <w:tc>
          <w:tcPr>
            <w:tcW w:type="dxa" w:w="2024"/>
          </w:tcPr>
          <w:p>
            <w:pPr>
              <w:spacing w:before="0" w:after="0" w:line="264" w:lineRule="auto"/>
            </w:pPr>
            <w:r>
              <w:rPr>
                <w:color w:val="14202B"/>
                <w:sz w:val="17"/>
              </w:rPr>
              <w:t>Ficha técnica do fabricante</w:t>
            </w:r>
          </w:p>
        </w:tc>
      </w:tr>
      <w:tr>
        <w:trPr>
          <w:cantSplit/>
        </w:trPr>
        <w:tc>
          <w:tcPr>
            <w:tcW w:type="dxa" w:w="3180"/>
            <w:shd w:val="clear" w:color="auto" w:fill="F8F9F6"/>
          </w:tcPr>
          <w:p>
            <w:pPr>
              <w:spacing w:before="0" w:after="0" w:line="264" w:lineRule="auto"/>
            </w:pPr>
            <w:r>
              <w:rPr>
                <w:color w:val="14202B"/>
                <w:sz w:val="17"/>
              </w:rPr>
              <w:t>Massa por unidade de área</w:t>
            </w:r>
          </w:p>
        </w:tc>
        <w:tc>
          <w:tcPr>
            <w:tcW w:type="dxa" w:w="2795"/>
            <w:shd w:val="clear" w:color="auto" w:fill="F8F9F6"/>
          </w:tcPr>
          <w:p>
            <w:pPr>
              <w:spacing w:before="0" w:after="0" w:line="264" w:lineRule="auto"/>
            </w:pPr>
            <w:r>
              <w:rPr>
                <w:color w:val="14202B"/>
                <w:sz w:val="17"/>
              </w:rPr>
              <w:t>≥ 175 g/m²</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Ficha técnica do fabricante</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80" w:after="40" w:line="264" w:lineRule="auto"/>
      </w:pPr>
      <w:r>
        <w:rPr>
          <w:b/>
          <w:i w:val="0"/>
          <w:color w:val="4F6B2A"/>
          <w:sz w:val="18"/>
        </w:rPr>
        <w:t>[Opção B · classes N2 e N3, ND TSF-100]</w:t>
      </w:r>
    </w:p>
    <w:p>
      <w:pPr>
        <w:spacing w:before="0" w:after="100" w:line="288" w:lineRule="auto"/>
      </w:pPr>
      <w:r>
        <w:rPr>
          <w:b/>
          <w:sz w:val="20"/>
        </w:rPr>
        <w:t>Descrição.</w:t>
      </w:r>
      <w:r>
        <w:rPr>
          <w:sz w:val="20"/>
        </w:rPr>
        <w:t xml:space="preserve"> Fornecimento e colocação de folha de deslizamento e proteção do tipo </w:t>
      </w:r>
      <w:r>
        <w:rPr>
          <w:b/>
          <w:sz w:val="20"/>
        </w:rPr>
        <w:t>ND TSF-100</w:t>
      </w:r>
      <w:r>
        <w:rPr>
          <w:sz w:val="20"/>
        </w:rPr>
        <w:t xml:space="preserve"> da Nophadrain, ou equivalente previamente aprovado pela fiscalização, em polietileno de alta densidade (HDPE modificado), com 1 mm de espessura, sobre a impermeabilização, para impedir a transmissão das forças de travagem e viragem à impermeabilização. Sobreposições de acordo com as instruções do fabricante.</w:t>
      </w:r>
    </w:p>
    <w:p>
      <w:pPr>
        <w:keepNext/>
        <w:spacing w:before="0" w:after="100" w:line="288" w:lineRule="auto"/>
      </w:pPr>
      <w:r>
        <w:rPr>
          <w:b/>
          <w:sz w:val="20"/>
        </w:rPr>
        <w:t>Quadro de desempenho exigido.</w:t>
      </w:r>
      <w:r>
        <w:rPr>
          <w:sz w:val="20"/>
        </w:rPr>
        <w:t xml:space="preserve"> A camada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Espessura</w:t>
            </w:r>
          </w:p>
        </w:tc>
        <w:tc>
          <w:tcPr>
            <w:tcW w:type="dxa" w:w="2795"/>
          </w:tcPr>
          <w:p>
            <w:pPr>
              <w:spacing w:before="0" w:after="0" w:line="264" w:lineRule="auto"/>
            </w:pPr>
            <w:r>
              <w:rPr>
                <w:color w:val="14202B"/>
                <w:sz w:val="17"/>
              </w:rPr>
              <w:t>≥ 1 mm</w:t>
            </w:r>
          </w:p>
        </w:tc>
        <w:tc>
          <w:tcPr>
            <w:tcW w:type="dxa" w:w="1638"/>
          </w:tcPr>
          <w:p>
            <w:pPr>
              <w:spacing w:before="0" w:after="0" w:line="264" w:lineRule="auto"/>
            </w:pPr>
            <w:r>
              <w:rPr>
                <w:color w:val="14202B"/>
                <w:sz w:val="17"/>
              </w:rPr>
              <w:t>—</w:t>
            </w:r>
          </w:p>
        </w:tc>
        <w:tc>
          <w:tcPr>
            <w:tcW w:type="dxa" w:w="2024"/>
          </w:tcPr>
          <w:p>
            <w:pPr>
              <w:spacing w:before="0" w:after="0" w:line="264" w:lineRule="auto"/>
            </w:pPr>
            <w:r>
              <w:rPr>
                <w:color w:val="14202B"/>
                <w:sz w:val="17"/>
              </w:rPr>
              <w:t>Ficha técnica do fabricante</w:t>
            </w:r>
          </w:p>
        </w:tc>
      </w:tr>
      <w:tr>
        <w:trPr>
          <w:cantSplit/>
        </w:trPr>
        <w:tc>
          <w:tcPr>
            <w:tcW w:type="dxa" w:w="3180"/>
            <w:shd w:val="clear" w:color="auto" w:fill="F8F9F6"/>
          </w:tcPr>
          <w:p>
            <w:pPr>
              <w:spacing w:before="0" w:after="0" w:line="264" w:lineRule="auto"/>
            </w:pPr>
            <w:r>
              <w:rPr>
                <w:color w:val="14202B"/>
                <w:sz w:val="17"/>
              </w:rPr>
              <w:t>Massa por unidade de área</w:t>
            </w:r>
          </w:p>
        </w:tc>
        <w:tc>
          <w:tcPr>
            <w:tcW w:type="dxa" w:w="2795"/>
            <w:shd w:val="clear" w:color="auto" w:fill="F8F9F6"/>
          </w:tcPr>
          <w:p>
            <w:pPr>
              <w:spacing w:before="0" w:after="0" w:line="264" w:lineRule="auto"/>
            </w:pPr>
            <w:r>
              <w:rPr>
                <w:color w:val="14202B"/>
                <w:sz w:val="17"/>
              </w:rPr>
              <w:t>≥ 946 g/m²</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Ficha técnica do fabricante</w:t>
            </w:r>
          </w:p>
        </w:tc>
      </w:tr>
      <w:tr>
        <w:trPr>
          <w:cantSplit/>
        </w:trPr>
        <w:tc>
          <w:tcPr>
            <w:tcW w:type="dxa" w:w="3180"/>
          </w:tcPr>
          <w:p>
            <w:pPr>
              <w:spacing w:before="0" w:after="0" w:line="264" w:lineRule="auto"/>
            </w:pPr>
            <w:r>
              <w:rPr>
                <w:color w:val="14202B"/>
                <w:sz w:val="17"/>
              </w:rPr>
              <w:t>Benefício de proteção a longo prazo sobre barreiras geossintéticas</w:t>
            </w:r>
          </w:p>
        </w:tc>
        <w:tc>
          <w:tcPr>
            <w:tcW w:type="dxa" w:w="2795"/>
          </w:tcPr>
          <w:p>
            <w:pPr>
              <w:spacing w:before="0" w:after="0" w:line="264" w:lineRule="auto"/>
            </w:pPr>
            <w:r>
              <w:rPr>
                <w:color w:val="14202B"/>
                <w:sz w:val="17"/>
              </w:rPr>
              <w:t>ensaiado</w:t>
            </w:r>
          </w:p>
        </w:tc>
        <w:tc>
          <w:tcPr>
            <w:tcW w:type="dxa" w:w="1638"/>
          </w:tcPr>
          <w:p>
            <w:pPr>
              <w:spacing w:before="0" w:after="0" w:line="264" w:lineRule="auto"/>
            </w:pPr>
            <w:r>
              <w:rPr>
                <w:color w:val="14202B"/>
                <w:sz w:val="17"/>
              </w:rPr>
              <w:t>EN 13719</w:t>
            </w:r>
          </w:p>
        </w:tc>
        <w:tc>
          <w:tcPr>
            <w:tcW w:type="dxa" w:w="2024"/>
          </w:tcPr>
          <w:p>
            <w:pPr>
              <w:spacing w:before="0" w:after="0" w:line="264" w:lineRule="auto"/>
            </w:pPr>
            <w:r>
              <w:rPr>
                <w:color w:val="14202B"/>
                <w:sz w:val="17"/>
              </w:rPr>
              <w:t>Relatório de ensaio</w:t>
            </w:r>
          </w:p>
        </w:tc>
      </w:tr>
      <w:tr>
        <w:trPr>
          <w:cantSplit/>
        </w:trPr>
        <w:tc>
          <w:tcPr>
            <w:tcW w:type="dxa" w:w="3180"/>
            <w:shd w:val="clear" w:color="auto" w:fill="F8F9F6"/>
          </w:tcPr>
          <w:p>
            <w:pPr>
              <w:spacing w:before="0" w:after="0" w:line="264" w:lineRule="auto"/>
            </w:pPr>
            <w:r>
              <w:rPr>
                <w:color w:val="14202B"/>
                <w:sz w:val="17"/>
              </w:rPr>
              <w:t>Comportamento sob tráfego simulado</w:t>
            </w:r>
          </w:p>
        </w:tc>
        <w:tc>
          <w:tcPr>
            <w:tcW w:type="dxa" w:w="2795"/>
            <w:shd w:val="clear" w:color="auto" w:fill="F8F9F6"/>
          </w:tcPr>
          <w:p>
            <w:pPr>
              <w:spacing w:before="0" w:after="0" w:line="264" w:lineRule="auto"/>
            </w:pPr>
            <w:r>
              <w:rPr>
                <w:color w:val="14202B"/>
                <w:sz w:val="17"/>
              </w:rPr>
              <w:t>ensaiado</w:t>
            </w:r>
          </w:p>
        </w:tc>
        <w:tc>
          <w:tcPr>
            <w:tcW w:type="dxa" w:w="1638"/>
            <w:shd w:val="clear" w:color="auto" w:fill="F8F9F6"/>
          </w:tcPr>
          <w:p>
            <w:pPr>
              <w:spacing w:before="0" w:after="0" w:line="264" w:lineRule="auto"/>
            </w:pPr>
            <w:r>
              <w:rPr>
                <w:color w:val="14202B"/>
                <w:sz w:val="17"/>
              </w:rPr>
              <w:t>—</w:t>
            </w:r>
          </w:p>
        </w:tc>
        <w:tc>
          <w:tcPr>
            <w:tcW w:type="dxa" w:w="2024"/>
            <w:shd w:val="clear" w:color="auto" w:fill="F8F9F6"/>
          </w:tcPr>
          <w:p>
            <w:pPr>
              <w:spacing w:before="0" w:after="0" w:line="264" w:lineRule="auto"/>
            </w:pPr>
            <w:r>
              <w:rPr>
                <w:color w:val="14202B"/>
                <w:sz w:val="17"/>
              </w:rPr>
              <w:t>Relatório de ensaio (Universidade Técnica de Munique)</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160" w:after="60" w:line="264" w:lineRule="auto"/>
      </w:pPr>
      <w:r>
        <w:rPr>
          <w:b/>
          <w:color w:val="14202B"/>
          <w:sz w:val="21"/>
        </w:rPr>
        <w:t>Artigo [n.º] · Sistema de drenagem com filtro tecido</w:t>
      </w:r>
    </w:p>
    <w:p>
      <w:pPr>
        <w:keepNext/>
        <w:spacing w:before="80" w:after="40" w:line="264" w:lineRule="auto"/>
      </w:pPr>
      <w:r>
        <w:rPr>
          <w:b/>
          <w:i w:val="0"/>
          <w:color w:val="4F6B2A"/>
          <w:sz w:val="18"/>
        </w:rPr>
        <w:t>[Opção A · ND 220, classe N1 (peões)]</w:t>
      </w:r>
    </w:p>
    <w:p>
      <w:pPr>
        <w:spacing w:before="0" w:after="100" w:line="288" w:lineRule="auto"/>
      </w:pPr>
      <w:r>
        <w:rPr>
          <w:b/>
          <w:sz w:val="20"/>
        </w:rPr>
        <w:t>Descrição.</w:t>
      </w:r>
      <w:r>
        <w:rPr>
          <w:sz w:val="20"/>
        </w:rPr>
        <w:t xml:space="preserve"> Fornecimento e colocação, sobre a camada de deslizamento, de sistema de drenagem </w:t>
      </w:r>
      <w:r>
        <w:rPr>
          <w:b/>
          <w:sz w:val="20"/>
        </w:rPr>
        <w:t>ND 220</w:t>
      </w:r>
      <w:r>
        <w:rPr>
          <w:sz w:val="20"/>
        </w:rPr>
        <w:t xml:space="preserve"> da Nophadrain, para a classe de carga N1 (peões): núcleo alveolar em HIPS, filtro em geotêxtil de PP/PE e altura de construção de 12,5 mm, ou equivalente previamente aprovado pela fiscalização, incluindo sobreposições, cortes, remates junto de ralos, caixas de inspeção e bordos.</w:t>
      </w:r>
    </w:p>
    <w:p>
      <w:pPr>
        <w:keepNext/>
        <w:spacing w:before="0" w:after="100" w:line="288" w:lineRule="auto"/>
      </w:pPr>
      <w:r>
        <w:rPr>
          <w:b/>
          <w:sz w:val="20"/>
        </w:rPr>
        <w:t>Quadro de desempenho exigido.</w:t>
      </w:r>
      <w:r>
        <w:rPr>
          <w:sz w:val="20"/>
        </w:rPr>
        <w:t xml:space="preserve"> O sistema de drenagem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Marcação CE e declaração de desempenho</w:t>
            </w:r>
          </w:p>
        </w:tc>
        <w:tc>
          <w:tcPr>
            <w:tcW w:type="dxa" w:w="2795"/>
          </w:tcPr>
          <w:p>
            <w:pPr>
              <w:spacing w:before="0" w:after="0" w:line="264" w:lineRule="auto"/>
            </w:pPr>
            <w:r>
              <w:rPr>
                <w:color w:val="14202B"/>
                <w:sz w:val="17"/>
              </w:rPr>
              <w:t>obrigatórias</w:t>
            </w:r>
          </w:p>
        </w:tc>
        <w:tc>
          <w:tcPr>
            <w:tcW w:type="dxa" w:w="1638"/>
          </w:tcPr>
          <w:p>
            <w:pPr>
              <w:spacing w:before="0" w:after="0" w:line="264" w:lineRule="auto"/>
            </w:pPr>
            <w:r>
              <w:rPr>
                <w:color w:val="14202B"/>
                <w:sz w:val="17"/>
              </w:rPr>
              <w:t>EN 13252</w:t>
            </w:r>
          </w:p>
        </w:tc>
        <w:tc>
          <w:tcPr>
            <w:tcW w:type="dxa" w:w="2024"/>
          </w:tcPr>
          <w:p>
            <w:pPr>
              <w:spacing w:before="0" w:after="0" w:line="264" w:lineRule="auto"/>
            </w:pPr>
            <w:r>
              <w:rPr>
                <w:color w:val="14202B"/>
                <w:sz w:val="17"/>
              </w:rPr>
              <w:t>Declaração de desempenho</w:t>
            </w:r>
          </w:p>
        </w:tc>
      </w:tr>
      <w:tr>
        <w:trPr>
          <w:cantSplit/>
        </w:trPr>
        <w:tc>
          <w:tcPr>
            <w:tcW w:type="dxa" w:w="3180"/>
            <w:shd w:val="clear" w:color="auto" w:fill="F8F9F6"/>
          </w:tcPr>
          <w:p>
            <w:pPr>
              <w:spacing w:before="0" w:after="0" w:line="264" w:lineRule="auto"/>
            </w:pPr>
            <w:r>
              <w:rPr>
                <w:color w:val="14202B"/>
                <w:sz w:val="17"/>
              </w:rPr>
              <w:t>Resistência à compressão</w:t>
            </w:r>
          </w:p>
        </w:tc>
        <w:tc>
          <w:tcPr>
            <w:tcW w:type="dxa" w:w="2795"/>
            <w:shd w:val="clear" w:color="auto" w:fill="F8F9F6"/>
          </w:tcPr>
          <w:p>
            <w:pPr>
              <w:spacing w:before="0" w:after="0" w:line="264" w:lineRule="auto"/>
            </w:pPr>
            <w:r>
              <w:rPr>
                <w:color w:val="14202B"/>
                <w:sz w:val="17"/>
              </w:rPr>
              <w:t>≥ 700 kPa</w:t>
            </w:r>
          </w:p>
        </w:tc>
        <w:tc>
          <w:tcPr>
            <w:tcW w:type="dxa" w:w="1638"/>
            <w:shd w:val="clear" w:color="auto" w:fill="F8F9F6"/>
          </w:tcPr>
          <w:p>
            <w:pPr>
              <w:spacing w:before="0" w:after="0" w:line="264" w:lineRule="auto"/>
            </w:pPr>
            <w:r>
              <w:rPr>
                <w:color w:val="14202B"/>
                <w:sz w:val="17"/>
              </w:rPr>
              <w:t>EN ISO 25619-2</w:t>
            </w:r>
          </w:p>
        </w:tc>
        <w:tc>
          <w:tcPr>
            <w:tcW w:type="dxa" w:w="2024"/>
            <w:shd w:val="clear" w:color="auto" w:fill="F8F9F6"/>
          </w:tcPr>
          <w:p>
            <w:pPr>
              <w:spacing w:before="0" w:after="0" w:line="264" w:lineRule="auto"/>
            </w:pPr>
            <w:r>
              <w:rPr>
                <w:color w:val="14202B"/>
                <w:sz w:val="17"/>
              </w:rPr>
              <w:t>Declaração de desempenho (DoP220-007) ou relatório de ensaio</w:t>
            </w:r>
          </w:p>
        </w:tc>
      </w:tr>
      <w:tr>
        <w:trPr>
          <w:cantSplit/>
        </w:trPr>
        <w:tc>
          <w:tcPr>
            <w:tcW w:type="dxa" w:w="3180"/>
          </w:tcPr>
          <w:p>
            <w:pPr>
              <w:spacing w:before="0" w:after="0" w:line="264" w:lineRule="auto"/>
            </w:pPr>
            <w:r>
              <w:rPr>
                <w:color w:val="14202B"/>
                <w:sz w:val="17"/>
              </w:rPr>
              <w:t>Capacidade de drenagem no plano, i = 1, a 20 kPa</w:t>
            </w:r>
          </w:p>
        </w:tc>
        <w:tc>
          <w:tcPr>
            <w:tcW w:type="dxa" w:w="2795"/>
          </w:tcPr>
          <w:p>
            <w:pPr>
              <w:spacing w:before="0" w:after="0" w:line="264" w:lineRule="auto"/>
            </w:pPr>
            <w:r>
              <w:rPr>
                <w:color w:val="14202B"/>
                <w:sz w:val="17"/>
              </w:rPr>
              <w:t>≥ 5,29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(DoP220-007) ou relatório de ensaio</w:t>
            </w:r>
          </w:p>
        </w:tc>
      </w:tr>
      <w:tr>
        <w:trPr>
          <w:cantSplit/>
        </w:trPr>
        <w:tc>
          <w:tcPr>
            <w:tcW w:type="dxa" w:w="3180"/>
            <w:shd w:val="clear" w:color="auto" w:fill="F8F9F6"/>
          </w:tcPr>
          <w:p>
            <w:pPr>
              <w:spacing w:before="0" w:after="0" w:line="264" w:lineRule="auto"/>
            </w:pPr>
            <w:r>
              <w:rPr>
                <w:color w:val="14202B"/>
                <w:sz w:val="17"/>
              </w:rPr>
              <w:t>Capacidade de drenagem no plano, pendente de 2 %, 100 kPa (cobertura transitável pedonal)</w:t>
            </w:r>
          </w:p>
        </w:tc>
        <w:tc>
          <w:tcPr>
            <w:tcW w:type="dxa" w:w="2795"/>
            <w:shd w:val="clear" w:color="auto" w:fill="F8F9F6"/>
          </w:tcPr>
          <w:p>
            <w:pPr>
              <w:spacing w:before="0" w:after="0" w:line="264" w:lineRule="auto"/>
            </w:pPr>
            <w:r>
              <w:rPr>
                <w:color w:val="14202B"/>
                <w:sz w:val="17"/>
              </w:rPr>
              <w:t>≥ 0,44 l/(s·m)</w:t>
            </w:r>
          </w:p>
        </w:tc>
        <w:tc>
          <w:tcPr>
            <w:tcW w:type="dxa" w:w="1638"/>
            <w:shd w:val="clear" w:color="auto" w:fill="F8F9F6"/>
          </w:tcPr>
          <w:p>
            <w:pPr>
              <w:spacing w:before="0" w:after="0" w:line="264" w:lineRule="auto"/>
            </w:pPr>
            <w:r>
              <w:rPr>
                <w:color w:val="14202B"/>
                <w:sz w:val="17"/>
              </w:rPr>
              <w:t>EN ISO 12958</w:t>
            </w:r>
          </w:p>
        </w:tc>
        <w:tc>
          <w:tcPr>
            <w:tcW w:type="dxa" w:w="2024"/>
            <w:shd w:val="clear" w:color="auto" w:fill="F8F9F6"/>
          </w:tcPr>
          <w:p>
            <w:pPr>
              <w:spacing w:before="0" w:after="0" w:line="264" w:lineRule="auto"/>
            </w:pPr>
            <w:r>
              <w:rPr>
                <w:color w:val="14202B"/>
                <w:sz w:val="17"/>
              </w:rPr>
              <w:t>Declaração de desempenho (DoP220-007) ou relatório de ensaio</w:t>
            </w:r>
          </w:p>
        </w:tc>
      </w:tr>
      <w:tr>
        <w:trPr>
          <w:cantSplit/>
        </w:trPr>
        <w:tc>
          <w:tcPr>
            <w:tcW w:type="dxa" w:w="3180"/>
          </w:tcPr>
          <w:p>
            <w:pPr>
              <w:spacing w:before="0" w:after="0" w:line="264" w:lineRule="auto"/>
            </w:pPr>
            <w:r>
              <w:rPr>
                <w:color w:val="14202B"/>
                <w:sz w:val="17"/>
              </w:rPr>
              <w:t>Capacidade de drenagem no plano, com a pendente do projeto e a carga de tráfego de peões</w:t>
            </w:r>
          </w:p>
        </w:tc>
        <w:tc>
          <w:tcPr>
            <w:tcW w:type="dxa" w:w="2795"/>
          </w:tcPr>
          <w:p>
            <w:pPr>
              <w:spacing w:before="0" w:after="0" w:line="264" w:lineRule="auto"/>
            </w:pPr>
            <w:r>
              <w:rPr>
                <w:color w:val="14202B"/>
                <w:sz w:val="17"/>
              </w:rPr>
              <w:t>≥ [valor calculado]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(DoP220-007) ou relatório de ensaio</w:t>
            </w:r>
          </w:p>
        </w:tc>
      </w:tr>
      <w:tr>
        <w:trPr>
          <w:cantSplit/>
        </w:trPr>
        <w:tc>
          <w:tcPr>
            <w:tcW w:type="dxa" w:w="3180"/>
            <w:shd w:val="clear" w:color="auto" w:fill="F8F9F6"/>
          </w:tcPr>
          <w:p>
            <w:pPr>
              <w:spacing w:before="0" w:after="0" w:line="264" w:lineRule="auto"/>
            </w:pPr>
            <w:r>
              <w:rPr>
                <w:color w:val="14202B"/>
                <w:sz w:val="17"/>
              </w:rPr>
              <w:t>Abertura de filtração O</w:t>
            </w:r>
            <w:r>
              <w:rPr>
                <w:color w:val="14202B"/>
                <w:sz w:val="17"/>
                <w:vertAlign w:val="subscript"/>
              </w:rPr>
              <w:t>90</w:t>
            </w:r>
            <w:r>
              <w:rPr>
                <w:color w:val="14202B"/>
                <w:sz w:val="17"/>
              </w:rPr>
              <w:t xml:space="preserve"> do geotêxtil filtrante</w:t>
            </w:r>
          </w:p>
        </w:tc>
        <w:tc>
          <w:tcPr>
            <w:tcW w:type="dxa" w:w="2795"/>
            <w:shd w:val="clear" w:color="auto" w:fill="F8F9F6"/>
          </w:tcPr>
          <w:p>
            <w:pPr>
              <w:spacing w:before="0" w:after="0" w:line="264" w:lineRule="auto"/>
            </w:pPr>
            <w:r>
              <w:rPr>
                <w:color w:val="14202B"/>
                <w:sz w:val="17"/>
              </w:rPr>
              <w:t>≤ 150 µm</w:t>
            </w:r>
          </w:p>
        </w:tc>
        <w:tc>
          <w:tcPr>
            <w:tcW w:type="dxa" w:w="1638"/>
            <w:shd w:val="clear" w:color="auto" w:fill="F8F9F6"/>
          </w:tcPr>
          <w:p>
            <w:pPr>
              <w:spacing w:before="0" w:after="0" w:line="264" w:lineRule="auto"/>
            </w:pPr>
            <w:r>
              <w:rPr>
                <w:color w:val="14202B"/>
                <w:sz w:val="17"/>
              </w:rPr>
              <w:t>EN ISO 12956</w:t>
            </w:r>
          </w:p>
        </w:tc>
        <w:tc>
          <w:tcPr>
            <w:tcW w:type="dxa" w:w="2024"/>
            <w:shd w:val="clear" w:color="auto" w:fill="F8F9F6"/>
          </w:tcPr>
          <w:p>
            <w:pPr>
              <w:spacing w:before="0" w:after="0" w:line="264" w:lineRule="auto"/>
            </w:pPr>
            <w:r>
              <w:rPr>
                <w:color w:val="14202B"/>
                <w:sz w:val="17"/>
              </w:rPr>
              <w:t>Declaração de desempenho (DoP220-007) ou relatório de ensaio</w:t>
            </w:r>
          </w:p>
        </w:tc>
      </w:tr>
      <w:tr>
        <w:trPr>
          <w:cantSplit/>
        </w:trPr>
        <w:tc>
          <w:tcPr>
            <w:tcW w:type="dxa" w:w="3180"/>
          </w:tcPr>
          <w:p>
            <w:pPr>
              <w:spacing w:before="0" w:after="0" w:line="264" w:lineRule="auto"/>
            </w:pPr>
            <w:r>
              <w:rPr>
                <w:color w:val="14202B"/>
                <w:sz w:val="17"/>
              </w:rPr>
              <w:t>Permeabilidade à água H</w:t>
            </w:r>
            <w:r>
              <w:rPr>
                <w:color w:val="14202B"/>
                <w:sz w:val="17"/>
                <w:vertAlign w:val="subscript"/>
              </w:rPr>
              <w:t>50</w:t>
            </w:r>
            <w:r>
              <w:rPr>
                <w:color w:val="14202B"/>
                <w:sz w:val="17"/>
              </w:rPr>
              <w:t xml:space="preserve"> do geotêxtil filtrante</w:t>
            </w:r>
          </w:p>
        </w:tc>
        <w:tc>
          <w:tcPr>
            <w:tcW w:type="dxa" w:w="2795"/>
          </w:tcPr>
          <w:p>
            <w:pPr>
              <w:spacing w:before="0" w:after="0" w:line="264" w:lineRule="auto"/>
            </w:pPr>
            <w:r>
              <w:rPr>
                <w:color w:val="14202B"/>
                <w:sz w:val="17"/>
              </w:rPr>
              <w:t>≥ 100 mm/s</w:t>
            </w:r>
          </w:p>
        </w:tc>
        <w:tc>
          <w:tcPr>
            <w:tcW w:type="dxa" w:w="1638"/>
          </w:tcPr>
          <w:p>
            <w:pPr>
              <w:spacing w:before="0" w:after="0" w:line="264" w:lineRule="auto"/>
            </w:pPr>
            <w:r>
              <w:rPr>
                <w:color w:val="14202B"/>
                <w:sz w:val="17"/>
              </w:rPr>
              <w:t>EN ISO 11058</w:t>
            </w:r>
          </w:p>
        </w:tc>
        <w:tc>
          <w:tcPr>
            <w:tcW w:type="dxa" w:w="2024"/>
          </w:tcPr>
          <w:p>
            <w:pPr>
              <w:spacing w:before="0" w:after="0" w:line="264" w:lineRule="auto"/>
            </w:pPr>
            <w:r>
              <w:rPr>
                <w:color w:val="14202B"/>
                <w:sz w:val="17"/>
              </w:rPr>
              <w:t>Declaração de desempenho (DoP220-007) ou relatório de ensaio</w:t>
            </w:r>
          </w:p>
        </w:tc>
      </w:tr>
      <w:tr>
        <w:trPr>
          <w:cantSplit/>
        </w:trPr>
        <w:tc>
          <w:tcPr>
            <w:tcW w:type="dxa" w:w="3180"/>
            <w:shd w:val="clear" w:color="auto" w:fill="F8F9F6"/>
          </w:tcPr>
          <w:p>
            <w:pPr>
              <w:spacing w:before="0" w:after="0" w:line="264" w:lineRule="auto"/>
            </w:pPr>
            <w:r>
              <w:rPr>
                <w:color w:val="14202B"/>
                <w:sz w:val="17"/>
              </w:rPr>
              <w:t>Resistência ao punçoamento estático CBR do geotêxtil filtrante</w:t>
            </w:r>
          </w:p>
        </w:tc>
        <w:tc>
          <w:tcPr>
            <w:tcW w:type="dxa" w:w="2795"/>
            <w:shd w:val="clear" w:color="auto" w:fill="F8F9F6"/>
          </w:tcPr>
          <w:p>
            <w:pPr>
              <w:spacing w:before="0" w:after="0" w:line="264" w:lineRule="auto"/>
            </w:pPr>
            <w:r>
              <w:rPr>
                <w:color w:val="14202B"/>
                <w:sz w:val="17"/>
              </w:rPr>
              <w:t>≥ 1,5 kN</w:t>
            </w:r>
          </w:p>
        </w:tc>
        <w:tc>
          <w:tcPr>
            <w:tcW w:type="dxa" w:w="1638"/>
            <w:shd w:val="clear" w:color="auto" w:fill="F8F9F6"/>
          </w:tcPr>
          <w:p>
            <w:pPr>
              <w:spacing w:before="0" w:after="0" w:line="264" w:lineRule="auto"/>
            </w:pPr>
            <w:r>
              <w:rPr>
                <w:color w:val="14202B"/>
                <w:sz w:val="17"/>
              </w:rPr>
              <w:t>EN ISO 12236</w:t>
            </w:r>
          </w:p>
        </w:tc>
        <w:tc>
          <w:tcPr>
            <w:tcW w:type="dxa" w:w="2024"/>
            <w:shd w:val="clear" w:color="auto" w:fill="F8F9F6"/>
          </w:tcPr>
          <w:p>
            <w:pPr>
              <w:spacing w:before="0" w:after="0" w:line="264" w:lineRule="auto"/>
            </w:pPr>
            <w:r>
              <w:rPr>
                <w:color w:val="14202B"/>
                <w:sz w:val="17"/>
              </w:rPr>
              <w:t>Declaração de desempenho (DoP220-007) ou relatório de ensaio</w:t>
            </w:r>
          </w:p>
        </w:tc>
      </w:tr>
      <w:tr>
        <w:trPr>
          <w:cantSplit/>
        </w:trPr>
        <w:tc>
          <w:tcPr>
            <w:tcW w:type="dxa" w:w="3180"/>
          </w:tcPr>
          <w:p>
            <w:pPr>
              <w:spacing w:before="0" w:after="0" w:line="264" w:lineRule="auto"/>
            </w:pPr>
            <w:r>
              <w:rPr>
                <w:color w:val="14202B"/>
                <w:sz w:val="17"/>
              </w:rPr>
              <w:t>Resistência à tração do geotêxtil filtrante (DM/DT)</w:t>
            </w:r>
          </w:p>
        </w:tc>
        <w:tc>
          <w:tcPr>
            <w:tcW w:type="dxa" w:w="2795"/>
          </w:tcPr>
          <w:p>
            <w:pPr>
              <w:spacing w:before="0" w:after="0" w:line="264" w:lineRule="auto"/>
            </w:pPr>
            <w:r>
              <w:rPr>
                <w:color w:val="14202B"/>
                <w:sz w:val="17"/>
              </w:rPr>
              <w:t>≥ 8/8 kN/m</w:t>
            </w:r>
          </w:p>
        </w:tc>
        <w:tc>
          <w:tcPr>
            <w:tcW w:type="dxa" w:w="1638"/>
          </w:tcPr>
          <w:p>
            <w:pPr>
              <w:spacing w:before="0" w:after="0" w:line="264" w:lineRule="auto"/>
            </w:pPr>
            <w:r>
              <w:rPr>
                <w:color w:val="14202B"/>
                <w:sz w:val="17"/>
              </w:rPr>
              <w:t>EN ISO 10319</w:t>
            </w:r>
          </w:p>
        </w:tc>
        <w:tc>
          <w:tcPr>
            <w:tcW w:type="dxa" w:w="2024"/>
          </w:tcPr>
          <w:p>
            <w:pPr>
              <w:spacing w:before="0" w:after="0" w:line="264" w:lineRule="auto"/>
            </w:pPr>
            <w:r>
              <w:rPr>
                <w:color w:val="14202B"/>
                <w:sz w:val="17"/>
              </w:rPr>
              <w:t>Declaração de desempenho (DoP220-007) ou 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80" w:after="40" w:line="264" w:lineRule="auto"/>
      </w:pPr>
      <w:r>
        <w:rPr>
          <w:b/>
          <w:i w:val="0"/>
          <w:color w:val="4F6B2A"/>
          <w:sz w:val="18"/>
        </w:rPr>
        <w:t>[Opção B · ND 620, classe N2 (automóveis ligeiros)]</w:t>
      </w:r>
    </w:p>
    <w:p>
      <w:pPr>
        <w:spacing w:before="0" w:after="100" w:line="288" w:lineRule="auto"/>
      </w:pPr>
      <w:r>
        <w:rPr>
          <w:b/>
          <w:sz w:val="20"/>
        </w:rPr>
        <w:t>Descrição.</w:t>
      </w:r>
      <w:r>
        <w:rPr>
          <w:sz w:val="20"/>
        </w:rPr>
        <w:t xml:space="preserve"> Fornecimento e colocação, sobre a camada de deslizamento, de sistema de drenagem </w:t>
      </w:r>
      <w:r>
        <w:rPr>
          <w:b/>
          <w:sz w:val="20"/>
        </w:rPr>
        <w:t>ND 620</w:t>
      </w:r>
      <w:r>
        <w:rPr>
          <w:sz w:val="20"/>
        </w:rPr>
        <w:t xml:space="preserve"> da Nophadrain, para a classe de carga N2 (automóveis ligeiros): núcleo alveolar em HIPS, filtro em geotêxtil de PP (tecido) e altura de construção de 12,5 mm, ou equivalente previamente aprovado pela fiscalização, incluindo sobreposições, cortes, remates junto de ralos, caixas de inspeção e bordos.</w:t>
      </w:r>
    </w:p>
    <w:p>
      <w:pPr>
        <w:keepNext/>
        <w:spacing w:before="0" w:after="100" w:line="288" w:lineRule="auto"/>
      </w:pPr>
      <w:r>
        <w:rPr>
          <w:b/>
          <w:sz w:val="20"/>
        </w:rPr>
        <w:t>Quadro de desempenho exigido.</w:t>
      </w:r>
      <w:r>
        <w:rPr>
          <w:sz w:val="20"/>
        </w:rPr>
        <w:t xml:space="preserve"> O sistema de drenagem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Marcação CE e declaração de desempenho</w:t>
            </w:r>
          </w:p>
        </w:tc>
        <w:tc>
          <w:tcPr>
            <w:tcW w:type="dxa" w:w="2795"/>
          </w:tcPr>
          <w:p>
            <w:pPr>
              <w:spacing w:before="0" w:after="0" w:line="264" w:lineRule="auto"/>
            </w:pPr>
            <w:r>
              <w:rPr>
                <w:color w:val="14202B"/>
                <w:sz w:val="17"/>
              </w:rPr>
              <w:t>obrigatórias</w:t>
            </w:r>
          </w:p>
        </w:tc>
        <w:tc>
          <w:tcPr>
            <w:tcW w:type="dxa" w:w="1638"/>
          </w:tcPr>
          <w:p>
            <w:pPr>
              <w:spacing w:before="0" w:after="0" w:line="264" w:lineRule="auto"/>
            </w:pPr>
            <w:r>
              <w:rPr>
                <w:color w:val="14202B"/>
                <w:sz w:val="17"/>
              </w:rPr>
              <w:t>EN 13252</w:t>
            </w:r>
          </w:p>
        </w:tc>
        <w:tc>
          <w:tcPr>
            <w:tcW w:type="dxa" w:w="2024"/>
          </w:tcPr>
          <w:p>
            <w:pPr>
              <w:spacing w:before="0" w:after="0" w:line="264" w:lineRule="auto"/>
            </w:pPr>
            <w:r>
              <w:rPr>
                <w:color w:val="14202B"/>
                <w:sz w:val="17"/>
              </w:rPr>
              <w:t>Declaração de desempenho</w:t>
            </w:r>
          </w:p>
        </w:tc>
      </w:tr>
      <w:tr>
        <w:trPr>
          <w:cantSplit/>
        </w:trPr>
        <w:tc>
          <w:tcPr>
            <w:tcW w:type="dxa" w:w="3180"/>
            <w:shd w:val="clear" w:color="auto" w:fill="F8F9F6"/>
          </w:tcPr>
          <w:p>
            <w:pPr>
              <w:spacing w:before="0" w:after="0" w:line="264" w:lineRule="auto"/>
            </w:pPr>
            <w:r>
              <w:rPr>
                <w:color w:val="14202B"/>
                <w:sz w:val="17"/>
              </w:rPr>
              <w:t>Resistência à compressão</w:t>
            </w:r>
          </w:p>
        </w:tc>
        <w:tc>
          <w:tcPr>
            <w:tcW w:type="dxa" w:w="2795"/>
            <w:shd w:val="clear" w:color="auto" w:fill="F8F9F6"/>
          </w:tcPr>
          <w:p>
            <w:pPr>
              <w:spacing w:before="0" w:after="0" w:line="264" w:lineRule="auto"/>
            </w:pPr>
            <w:r>
              <w:rPr>
                <w:color w:val="14202B"/>
                <w:sz w:val="17"/>
              </w:rPr>
              <w:t>≥ 900 kPa</w:t>
            </w:r>
          </w:p>
        </w:tc>
        <w:tc>
          <w:tcPr>
            <w:tcW w:type="dxa" w:w="1638"/>
            <w:shd w:val="clear" w:color="auto" w:fill="F8F9F6"/>
          </w:tcPr>
          <w:p>
            <w:pPr>
              <w:spacing w:before="0" w:after="0" w:line="264" w:lineRule="auto"/>
            </w:pPr>
            <w:r>
              <w:rPr>
                <w:color w:val="14202B"/>
                <w:sz w:val="17"/>
              </w:rPr>
              <w:t>EN ISO 25619-2</w:t>
            </w:r>
          </w:p>
        </w:tc>
        <w:tc>
          <w:tcPr>
            <w:tcW w:type="dxa" w:w="2024"/>
            <w:shd w:val="clear" w:color="auto" w:fill="F8F9F6"/>
          </w:tcPr>
          <w:p>
            <w:pPr>
              <w:spacing w:before="0" w:after="0" w:line="264" w:lineRule="auto"/>
            </w:pPr>
            <w:r>
              <w:rPr>
                <w:color w:val="14202B"/>
                <w:sz w:val="17"/>
              </w:rPr>
              <w:t>Declaração de desempenho (DoP620-006) ou relatório de ensaio</w:t>
            </w:r>
          </w:p>
        </w:tc>
      </w:tr>
      <w:tr>
        <w:trPr>
          <w:cantSplit/>
        </w:trPr>
        <w:tc>
          <w:tcPr>
            <w:tcW w:type="dxa" w:w="3180"/>
          </w:tcPr>
          <w:p>
            <w:pPr>
              <w:spacing w:before="0" w:after="0" w:line="264" w:lineRule="auto"/>
            </w:pPr>
            <w:r>
              <w:rPr>
                <w:color w:val="14202B"/>
                <w:sz w:val="17"/>
              </w:rPr>
              <w:t>Capacidade de drenagem no plano, i = 1, a 20 kPa</w:t>
            </w:r>
          </w:p>
        </w:tc>
        <w:tc>
          <w:tcPr>
            <w:tcW w:type="dxa" w:w="2795"/>
          </w:tcPr>
          <w:p>
            <w:pPr>
              <w:spacing w:before="0" w:after="0" w:line="264" w:lineRule="auto"/>
            </w:pPr>
            <w:r>
              <w:rPr>
                <w:color w:val="14202B"/>
                <w:sz w:val="17"/>
              </w:rPr>
              <w:t>≥ 5,27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(DoP620-006) ou relatório de ensaio</w:t>
            </w:r>
          </w:p>
        </w:tc>
      </w:tr>
      <w:tr>
        <w:trPr>
          <w:cantSplit/>
        </w:trPr>
        <w:tc>
          <w:tcPr>
            <w:tcW w:type="dxa" w:w="3180"/>
            <w:shd w:val="clear" w:color="auto" w:fill="F8F9F6"/>
          </w:tcPr>
          <w:p>
            <w:pPr>
              <w:spacing w:before="0" w:after="0" w:line="264" w:lineRule="auto"/>
            </w:pPr>
            <w:r>
              <w:rPr>
                <w:color w:val="14202B"/>
                <w:sz w:val="17"/>
              </w:rPr>
              <w:t>Capacidade de drenagem no plano, pendente de 2 %, 200 kPa (cobertura de estacionamento)</w:t>
            </w:r>
          </w:p>
        </w:tc>
        <w:tc>
          <w:tcPr>
            <w:tcW w:type="dxa" w:w="2795"/>
            <w:shd w:val="clear" w:color="auto" w:fill="F8F9F6"/>
          </w:tcPr>
          <w:p>
            <w:pPr>
              <w:spacing w:before="0" w:after="0" w:line="264" w:lineRule="auto"/>
            </w:pPr>
            <w:r>
              <w:rPr>
                <w:color w:val="14202B"/>
                <w:sz w:val="17"/>
              </w:rPr>
              <w:t>≥ 0,44 l/(s·m)</w:t>
            </w:r>
          </w:p>
        </w:tc>
        <w:tc>
          <w:tcPr>
            <w:tcW w:type="dxa" w:w="1638"/>
            <w:shd w:val="clear" w:color="auto" w:fill="F8F9F6"/>
          </w:tcPr>
          <w:p>
            <w:pPr>
              <w:spacing w:before="0" w:after="0" w:line="264" w:lineRule="auto"/>
            </w:pPr>
            <w:r>
              <w:rPr>
                <w:color w:val="14202B"/>
                <w:sz w:val="17"/>
              </w:rPr>
              <w:t>EN ISO 12958</w:t>
            </w:r>
          </w:p>
        </w:tc>
        <w:tc>
          <w:tcPr>
            <w:tcW w:type="dxa" w:w="2024"/>
            <w:shd w:val="clear" w:color="auto" w:fill="F8F9F6"/>
          </w:tcPr>
          <w:p>
            <w:pPr>
              <w:spacing w:before="0" w:after="0" w:line="264" w:lineRule="auto"/>
            </w:pPr>
            <w:r>
              <w:rPr>
                <w:color w:val="14202B"/>
                <w:sz w:val="17"/>
              </w:rPr>
              <w:t>Declaração de desempenho (DoP620-006) ou relatório de ensaio</w:t>
            </w:r>
          </w:p>
        </w:tc>
      </w:tr>
      <w:tr>
        <w:trPr>
          <w:cantSplit/>
        </w:trPr>
        <w:tc>
          <w:tcPr>
            <w:tcW w:type="dxa" w:w="3180"/>
          </w:tcPr>
          <w:p>
            <w:pPr>
              <w:spacing w:before="0" w:after="0" w:line="264" w:lineRule="auto"/>
            </w:pPr>
            <w:r>
              <w:rPr>
                <w:color w:val="14202B"/>
                <w:sz w:val="17"/>
              </w:rPr>
              <w:t>Capacidade de drenagem no plano, com a pendente do projeto e a carga de tráfego de automóveis ligeiros</w:t>
            </w:r>
          </w:p>
        </w:tc>
        <w:tc>
          <w:tcPr>
            <w:tcW w:type="dxa" w:w="2795"/>
          </w:tcPr>
          <w:p>
            <w:pPr>
              <w:spacing w:before="0" w:after="0" w:line="264" w:lineRule="auto"/>
            </w:pPr>
            <w:r>
              <w:rPr>
                <w:color w:val="14202B"/>
                <w:sz w:val="17"/>
              </w:rPr>
              <w:t>≥ [valor calculado]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(DoP620-006) ou relatório de ensaio</w:t>
            </w:r>
          </w:p>
        </w:tc>
      </w:tr>
      <w:tr>
        <w:trPr>
          <w:cantSplit/>
        </w:trPr>
        <w:tc>
          <w:tcPr>
            <w:tcW w:type="dxa" w:w="3180"/>
            <w:shd w:val="clear" w:color="auto" w:fill="F8F9F6"/>
          </w:tcPr>
          <w:p>
            <w:pPr>
              <w:spacing w:before="0" w:after="0" w:line="264" w:lineRule="auto"/>
            </w:pPr>
            <w:r>
              <w:rPr>
                <w:color w:val="14202B"/>
                <w:sz w:val="17"/>
              </w:rPr>
              <w:t>Abertura de filtração O</w:t>
            </w:r>
            <w:r>
              <w:rPr>
                <w:color w:val="14202B"/>
                <w:sz w:val="17"/>
                <w:vertAlign w:val="subscript"/>
              </w:rPr>
              <w:t>90</w:t>
            </w:r>
            <w:r>
              <w:rPr>
                <w:color w:val="14202B"/>
                <w:sz w:val="17"/>
              </w:rPr>
              <w:t xml:space="preserve"> do geotêxtil filtrante</w:t>
            </w:r>
          </w:p>
        </w:tc>
        <w:tc>
          <w:tcPr>
            <w:tcW w:type="dxa" w:w="2795"/>
            <w:shd w:val="clear" w:color="auto" w:fill="F8F9F6"/>
          </w:tcPr>
          <w:p>
            <w:pPr>
              <w:spacing w:before="0" w:after="0" w:line="264" w:lineRule="auto"/>
            </w:pPr>
            <w:r>
              <w:rPr>
                <w:color w:val="14202B"/>
                <w:sz w:val="17"/>
              </w:rPr>
              <w:t>≤ 187 µm</w:t>
            </w:r>
          </w:p>
        </w:tc>
        <w:tc>
          <w:tcPr>
            <w:tcW w:type="dxa" w:w="1638"/>
            <w:shd w:val="clear" w:color="auto" w:fill="F8F9F6"/>
          </w:tcPr>
          <w:p>
            <w:pPr>
              <w:spacing w:before="0" w:after="0" w:line="264" w:lineRule="auto"/>
            </w:pPr>
            <w:r>
              <w:rPr>
                <w:color w:val="14202B"/>
                <w:sz w:val="17"/>
              </w:rPr>
              <w:t>EN ISO 12956</w:t>
            </w:r>
          </w:p>
        </w:tc>
        <w:tc>
          <w:tcPr>
            <w:tcW w:type="dxa" w:w="2024"/>
            <w:shd w:val="clear" w:color="auto" w:fill="F8F9F6"/>
          </w:tcPr>
          <w:p>
            <w:pPr>
              <w:spacing w:before="0" w:after="0" w:line="264" w:lineRule="auto"/>
            </w:pPr>
            <w:r>
              <w:rPr>
                <w:color w:val="14202B"/>
                <w:sz w:val="17"/>
              </w:rPr>
              <w:t>Declaração de desempenho (DoP620-006) ou relatório de ensaio</w:t>
            </w:r>
          </w:p>
        </w:tc>
      </w:tr>
      <w:tr>
        <w:trPr>
          <w:cantSplit/>
        </w:trPr>
        <w:tc>
          <w:tcPr>
            <w:tcW w:type="dxa" w:w="3180"/>
          </w:tcPr>
          <w:p>
            <w:pPr>
              <w:spacing w:before="0" w:after="0" w:line="264" w:lineRule="auto"/>
            </w:pPr>
            <w:r>
              <w:rPr>
                <w:color w:val="14202B"/>
                <w:sz w:val="17"/>
              </w:rPr>
              <w:t>Permeabilidade à água H</w:t>
            </w:r>
            <w:r>
              <w:rPr>
                <w:color w:val="14202B"/>
                <w:sz w:val="17"/>
                <w:vertAlign w:val="subscript"/>
              </w:rPr>
              <w:t>50</w:t>
            </w:r>
            <w:r>
              <w:rPr>
                <w:color w:val="14202B"/>
                <w:sz w:val="17"/>
              </w:rPr>
              <w:t xml:space="preserve"> do geotêxtil filtrante</w:t>
            </w:r>
          </w:p>
        </w:tc>
        <w:tc>
          <w:tcPr>
            <w:tcW w:type="dxa" w:w="2795"/>
          </w:tcPr>
          <w:p>
            <w:pPr>
              <w:spacing w:before="0" w:after="0" w:line="264" w:lineRule="auto"/>
            </w:pPr>
            <w:r>
              <w:rPr>
                <w:color w:val="14202B"/>
                <w:sz w:val="17"/>
              </w:rPr>
              <w:t>≥ 44 mm/s</w:t>
            </w:r>
          </w:p>
        </w:tc>
        <w:tc>
          <w:tcPr>
            <w:tcW w:type="dxa" w:w="1638"/>
          </w:tcPr>
          <w:p>
            <w:pPr>
              <w:spacing w:before="0" w:after="0" w:line="264" w:lineRule="auto"/>
            </w:pPr>
            <w:r>
              <w:rPr>
                <w:color w:val="14202B"/>
                <w:sz w:val="17"/>
              </w:rPr>
              <w:t>EN ISO 11058</w:t>
            </w:r>
          </w:p>
        </w:tc>
        <w:tc>
          <w:tcPr>
            <w:tcW w:type="dxa" w:w="2024"/>
          </w:tcPr>
          <w:p>
            <w:pPr>
              <w:spacing w:before="0" w:after="0" w:line="264" w:lineRule="auto"/>
            </w:pPr>
            <w:r>
              <w:rPr>
                <w:color w:val="14202B"/>
                <w:sz w:val="17"/>
              </w:rPr>
              <w:t>Declaração de desempenho (DoP620-006) ou relatório de ensaio</w:t>
            </w:r>
          </w:p>
        </w:tc>
      </w:tr>
      <w:tr>
        <w:trPr>
          <w:cantSplit/>
        </w:trPr>
        <w:tc>
          <w:tcPr>
            <w:tcW w:type="dxa" w:w="3180"/>
            <w:shd w:val="clear" w:color="auto" w:fill="F8F9F6"/>
          </w:tcPr>
          <w:p>
            <w:pPr>
              <w:spacing w:before="0" w:after="0" w:line="264" w:lineRule="auto"/>
            </w:pPr>
            <w:r>
              <w:rPr>
                <w:color w:val="14202B"/>
                <w:sz w:val="17"/>
              </w:rPr>
              <w:t>Resistência ao punçoamento estático CBR do geotêxtil filtrante</w:t>
            </w:r>
          </w:p>
        </w:tc>
        <w:tc>
          <w:tcPr>
            <w:tcW w:type="dxa" w:w="2795"/>
            <w:shd w:val="clear" w:color="auto" w:fill="F8F9F6"/>
          </w:tcPr>
          <w:p>
            <w:pPr>
              <w:spacing w:before="0" w:after="0" w:line="264" w:lineRule="auto"/>
            </w:pPr>
            <w:r>
              <w:rPr>
                <w:color w:val="14202B"/>
                <w:sz w:val="17"/>
              </w:rPr>
              <w:t>≥ 4 kN</w:t>
            </w:r>
          </w:p>
        </w:tc>
        <w:tc>
          <w:tcPr>
            <w:tcW w:type="dxa" w:w="1638"/>
            <w:shd w:val="clear" w:color="auto" w:fill="F8F9F6"/>
          </w:tcPr>
          <w:p>
            <w:pPr>
              <w:spacing w:before="0" w:after="0" w:line="264" w:lineRule="auto"/>
            </w:pPr>
            <w:r>
              <w:rPr>
                <w:color w:val="14202B"/>
                <w:sz w:val="17"/>
              </w:rPr>
              <w:t>EN ISO 12236</w:t>
            </w:r>
          </w:p>
        </w:tc>
        <w:tc>
          <w:tcPr>
            <w:tcW w:type="dxa" w:w="2024"/>
            <w:shd w:val="clear" w:color="auto" w:fill="F8F9F6"/>
          </w:tcPr>
          <w:p>
            <w:pPr>
              <w:spacing w:before="0" w:after="0" w:line="264" w:lineRule="auto"/>
            </w:pPr>
            <w:r>
              <w:rPr>
                <w:color w:val="14202B"/>
                <w:sz w:val="17"/>
              </w:rPr>
              <w:t>Declaração de desempenho (DoP620-006) ou relatório de ensaio</w:t>
            </w:r>
          </w:p>
        </w:tc>
      </w:tr>
      <w:tr>
        <w:trPr>
          <w:cantSplit/>
        </w:trPr>
        <w:tc>
          <w:tcPr>
            <w:tcW w:type="dxa" w:w="3180"/>
          </w:tcPr>
          <w:p>
            <w:pPr>
              <w:spacing w:before="0" w:after="0" w:line="264" w:lineRule="auto"/>
            </w:pPr>
            <w:r>
              <w:rPr>
                <w:color w:val="14202B"/>
                <w:sz w:val="17"/>
              </w:rPr>
              <w:t>Resistência à tração do geotêxtil filtrante (DM/DT)</w:t>
            </w:r>
          </w:p>
        </w:tc>
        <w:tc>
          <w:tcPr>
            <w:tcW w:type="dxa" w:w="2795"/>
          </w:tcPr>
          <w:p>
            <w:pPr>
              <w:spacing w:before="0" w:after="0" w:line="264" w:lineRule="auto"/>
            </w:pPr>
            <w:r>
              <w:rPr>
                <w:color w:val="14202B"/>
                <w:sz w:val="17"/>
              </w:rPr>
              <w:t>≥ 44/52 kN/m</w:t>
            </w:r>
          </w:p>
        </w:tc>
        <w:tc>
          <w:tcPr>
            <w:tcW w:type="dxa" w:w="1638"/>
          </w:tcPr>
          <w:p>
            <w:pPr>
              <w:spacing w:before="0" w:after="0" w:line="264" w:lineRule="auto"/>
            </w:pPr>
            <w:r>
              <w:rPr>
                <w:color w:val="14202B"/>
                <w:sz w:val="17"/>
              </w:rPr>
              <w:t>EN ISO 10319</w:t>
            </w:r>
          </w:p>
        </w:tc>
        <w:tc>
          <w:tcPr>
            <w:tcW w:type="dxa" w:w="2024"/>
          </w:tcPr>
          <w:p>
            <w:pPr>
              <w:spacing w:before="0" w:after="0" w:line="264" w:lineRule="auto"/>
            </w:pPr>
            <w:r>
              <w:rPr>
                <w:color w:val="14202B"/>
                <w:sz w:val="17"/>
              </w:rPr>
              <w:t>Declaração de desempenho (DoP620-006) ou 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80" w:after="40" w:line="264" w:lineRule="auto"/>
      </w:pPr>
      <w:r>
        <w:rPr>
          <w:b/>
          <w:i w:val="0"/>
          <w:color w:val="4F6B2A"/>
          <w:sz w:val="18"/>
        </w:rPr>
        <w:t>[Opção C · ND 620hd, classe N3 (veículos pesados)]</w:t>
      </w:r>
    </w:p>
    <w:p>
      <w:pPr>
        <w:spacing w:before="0" w:after="100" w:line="288" w:lineRule="auto"/>
      </w:pPr>
      <w:r>
        <w:rPr>
          <w:b/>
          <w:sz w:val="20"/>
        </w:rPr>
        <w:t>Descrição.</w:t>
      </w:r>
      <w:r>
        <w:rPr>
          <w:sz w:val="20"/>
        </w:rPr>
        <w:t xml:space="preserve"> Fornecimento e colocação, sobre a camada de deslizamento, de sistema de drenagem </w:t>
      </w:r>
      <w:r>
        <w:rPr>
          <w:b/>
          <w:sz w:val="20"/>
        </w:rPr>
        <w:t>ND 620hd</w:t>
      </w:r>
      <w:r>
        <w:rPr>
          <w:sz w:val="20"/>
        </w:rPr>
        <w:t xml:space="preserve"> da Nophadrain, para a classe de carga N3 (veículos pesados): núcleo alveolar em HIPS, filtro em geotêxtil de PP (tecido) e altura de construção de 12,5 mm, ou equivalente previamente aprovado pela fiscalização, incluindo sobreposições, cortes, remates junto de ralos, caixas de inspeção e bordos.</w:t>
      </w:r>
    </w:p>
    <w:p>
      <w:pPr>
        <w:keepNext/>
        <w:spacing w:before="0" w:after="100" w:line="288" w:lineRule="auto"/>
      </w:pPr>
      <w:r>
        <w:rPr>
          <w:b/>
          <w:sz w:val="20"/>
        </w:rPr>
        <w:t>Quadro de desempenho exigido.</w:t>
      </w:r>
      <w:r>
        <w:rPr>
          <w:sz w:val="20"/>
        </w:rPr>
        <w:t xml:space="preserve"> O sistema de drenagem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Marcação CE e declaração de desempenho</w:t>
            </w:r>
          </w:p>
        </w:tc>
        <w:tc>
          <w:tcPr>
            <w:tcW w:type="dxa" w:w="2795"/>
          </w:tcPr>
          <w:p>
            <w:pPr>
              <w:spacing w:before="0" w:after="0" w:line="264" w:lineRule="auto"/>
            </w:pPr>
            <w:r>
              <w:rPr>
                <w:color w:val="14202B"/>
                <w:sz w:val="17"/>
              </w:rPr>
              <w:t>obrigatórias</w:t>
            </w:r>
          </w:p>
        </w:tc>
        <w:tc>
          <w:tcPr>
            <w:tcW w:type="dxa" w:w="1638"/>
          </w:tcPr>
          <w:p>
            <w:pPr>
              <w:spacing w:before="0" w:after="0" w:line="264" w:lineRule="auto"/>
            </w:pPr>
            <w:r>
              <w:rPr>
                <w:color w:val="14202B"/>
                <w:sz w:val="17"/>
              </w:rPr>
              <w:t>EN 13252</w:t>
            </w:r>
          </w:p>
        </w:tc>
        <w:tc>
          <w:tcPr>
            <w:tcW w:type="dxa" w:w="2024"/>
          </w:tcPr>
          <w:p>
            <w:pPr>
              <w:spacing w:before="0" w:after="0" w:line="264" w:lineRule="auto"/>
            </w:pPr>
            <w:r>
              <w:rPr>
                <w:color w:val="14202B"/>
                <w:sz w:val="17"/>
              </w:rPr>
              <w:t>Declaração de desempenho</w:t>
            </w:r>
          </w:p>
        </w:tc>
      </w:tr>
      <w:tr>
        <w:trPr>
          <w:cantSplit/>
        </w:trPr>
        <w:tc>
          <w:tcPr>
            <w:tcW w:type="dxa" w:w="3180"/>
            <w:shd w:val="clear" w:color="auto" w:fill="F8F9F6"/>
          </w:tcPr>
          <w:p>
            <w:pPr>
              <w:spacing w:before="0" w:after="0" w:line="264" w:lineRule="auto"/>
            </w:pPr>
            <w:r>
              <w:rPr>
                <w:color w:val="14202B"/>
                <w:sz w:val="17"/>
              </w:rPr>
              <w:t>Resistência à compressão</w:t>
            </w:r>
          </w:p>
        </w:tc>
        <w:tc>
          <w:tcPr>
            <w:tcW w:type="dxa" w:w="2795"/>
            <w:shd w:val="clear" w:color="auto" w:fill="F8F9F6"/>
          </w:tcPr>
          <w:p>
            <w:pPr>
              <w:spacing w:before="0" w:after="0" w:line="264" w:lineRule="auto"/>
            </w:pPr>
            <w:r>
              <w:rPr>
                <w:color w:val="14202B"/>
                <w:sz w:val="17"/>
              </w:rPr>
              <w:t>≥ 1 200 kPa</w:t>
            </w:r>
          </w:p>
        </w:tc>
        <w:tc>
          <w:tcPr>
            <w:tcW w:type="dxa" w:w="1638"/>
            <w:shd w:val="clear" w:color="auto" w:fill="F8F9F6"/>
          </w:tcPr>
          <w:p>
            <w:pPr>
              <w:spacing w:before="0" w:after="0" w:line="264" w:lineRule="auto"/>
            </w:pPr>
            <w:r>
              <w:rPr>
                <w:color w:val="14202B"/>
                <w:sz w:val="17"/>
              </w:rPr>
              <w:t>EN ISO 25619-2</w:t>
            </w:r>
          </w:p>
        </w:tc>
        <w:tc>
          <w:tcPr>
            <w:tcW w:type="dxa" w:w="2024"/>
            <w:shd w:val="clear" w:color="auto" w:fill="F8F9F6"/>
          </w:tcPr>
          <w:p>
            <w:pPr>
              <w:spacing w:before="0" w:after="0" w:line="264" w:lineRule="auto"/>
            </w:pPr>
            <w:r>
              <w:rPr>
                <w:color w:val="14202B"/>
                <w:sz w:val="17"/>
              </w:rPr>
              <w:t>Declaração de desempenho (DoP620hd-007) ou relatório de ensaio</w:t>
            </w:r>
          </w:p>
        </w:tc>
      </w:tr>
      <w:tr>
        <w:trPr>
          <w:cantSplit/>
        </w:trPr>
        <w:tc>
          <w:tcPr>
            <w:tcW w:type="dxa" w:w="3180"/>
          </w:tcPr>
          <w:p>
            <w:pPr>
              <w:spacing w:before="0" w:after="0" w:line="264" w:lineRule="auto"/>
            </w:pPr>
            <w:r>
              <w:rPr>
                <w:color w:val="14202B"/>
                <w:sz w:val="17"/>
              </w:rPr>
              <w:t>Capacidade de drenagem no plano, i = 1, a 20 kPa</w:t>
            </w:r>
          </w:p>
        </w:tc>
        <w:tc>
          <w:tcPr>
            <w:tcW w:type="dxa" w:w="2795"/>
          </w:tcPr>
          <w:p>
            <w:pPr>
              <w:spacing w:before="0" w:after="0" w:line="264" w:lineRule="auto"/>
            </w:pPr>
            <w:r>
              <w:rPr>
                <w:color w:val="14202B"/>
                <w:sz w:val="17"/>
              </w:rPr>
              <w:t>≥ 5,36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(DoP620hd-007) ou relatório de ensaio</w:t>
            </w:r>
          </w:p>
        </w:tc>
      </w:tr>
      <w:tr>
        <w:trPr>
          <w:cantSplit/>
        </w:trPr>
        <w:tc>
          <w:tcPr>
            <w:tcW w:type="dxa" w:w="3180"/>
            <w:shd w:val="clear" w:color="auto" w:fill="F8F9F6"/>
          </w:tcPr>
          <w:p>
            <w:pPr>
              <w:spacing w:before="0" w:after="0" w:line="264" w:lineRule="auto"/>
            </w:pPr>
            <w:r>
              <w:rPr>
                <w:color w:val="14202B"/>
                <w:sz w:val="17"/>
              </w:rPr>
              <w:t>Capacidade de drenagem no plano, pendente de 2 %, 200 kPa (cobertura de estacionamento)</w:t>
            </w:r>
          </w:p>
        </w:tc>
        <w:tc>
          <w:tcPr>
            <w:tcW w:type="dxa" w:w="2795"/>
            <w:shd w:val="clear" w:color="auto" w:fill="F8F9F6"/>
          </w:tcPr>
          <w:p>
            <w:pPr>
              <w:spacing w:before="0" w:after="0" w:line="264" w:lineRule="auto"/>
            </w:pPr>
            <w:r>
              <w:rPr>
                <w:color w:val="14202B"/>
                <w:sz w:val="17"/>
              </w:rPr>
              <w:t>≥ 0,47 l/(s·m)</w:t>
            </w:r>
          </w:p>
        </w:tc>
        <w:tc>
          <w:tcPr>
            <w:tcW w:type="dxa" w:w="1638"/>
            <w:shd w:val="clear" w:color="auto" w:fill="F8F9F6"/>
          </w:tcPr>
          <w:p>
            <w:pPr>
              <w:spacing w:before="0" w:after="0" w:line="264" w:lineRule="auto"/>
            </w:pPr>
            <w:r>
              <w:rPr>
                <w:color w:val="14202B"/>
                <w:sz w:val="17"/>
              </w:rPr>
              <w:t>EN ISO 12958</w:t>
            </w:r>
          </w:p>
        </w:tc>
        <w:tc>
          <w:tcPr>
            <w:tcW w:type="dxa" w:w="2024"/>
            <w:shd w:val="clear" w:color="auto" w:fill="F8F9F6"/>
          </w:tcPr>
          <w:p>
            <w:pPr>
              <w:spacing w:before="0" w:after="0" w:line="264" w:lineRule="auto"/>
            </w:pPr>
            <w:r>
              <w:rPr>
                <w:color w:val="14202B"/>
                <w:sz w:val="17"/>
              </w:rPr>
              <w:t>Declaração de desempenho (DoP620hd-007) ou relatório de ensaio</w:t>
            </w:r>
          </w:p>
        </w:tc>
      </w:tr>
      <w:tr>
        <w:trPr>
          <w:cantSplit/>
        </w:trPr>
        <w:tc>
          <w:tcPr>
            <w:tcW w:type="dxa" w:w="3180"/>
          </w:tcPr>
          <w:p>
            <w:pPr>
              <w:spacing w:before="0" w:after="0" w:line="264" w:lineRule="auto"/>
            </w:pPr>
            <w:r>
              <w:rPr>
                <w:color w:val="14202B"/>
                <w:sz w:val="17"/>
              </w:rPr>
              <w:t>Capacidade de drenagem no plano, com a pendente do projeto e a carga de tráfego de veículos pesados</w:t>
            </w:r>
          </w:p>
        </w:tc>
        <w:tc>
          <w:tcPr>
            <w:tcW w:type="dxa" w:w="2795"/>
          </w:tcPr>
          <w:p>
            <w:pPr>
              <w:spacing w:before="0" w:after="0" w:line="264" w:lineRule="auto"/>
            </w:pPr>
            <w:r>
              <w:rPr>
                <w:color w:val="14202B"/>
                <w:sz w:val="17"/>
              </w:rPr>
              <w:t>≥ [valor calculado]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(DoP620hd-007) ou relatório de ensaio</w:t>
            </w:r>
          </w:p>
        </w:tc>
      </w:tr>
      <w:tr>
        <w:trPr>
          <w:cantSplit/>
        </w:trPr>
        <w:tc>
          <w:tcPr>
            <w:tcW w:type="dxa" w:w="3180"/>
            <w:shd w:val="clear" w:color="auto" w:fill="F8F9F6"/>
          </w:tcPr>
          <w:p>
            <w:pPr>
              <w:spacing w:before="0" w:after="0" w:line="264" w:lineRule="auto"/>
            </w:pPr>
            <w:r>
              <w:rPr>
                <w:color w:val="14202B"/>
                <w:sz w:val="17"/>
              </w:rPr>
              <w:t>Abertura de filtração O</w:t>
            </w:r>
            <w:r>
              <w:rPr>
                <w:color w:val="14202B"/>
                <w:sz w:val="17"/>
                <w:vertAlign w:val="subscript"/>
              </w:rPr>
              <w:t>90</w:t>
            </w:r>
            <w:r>
              <w:rPr>
                <w:color w:val="14202B"/>
                <w:sz w:val="17"/>
              </w:rPr>
              <w:t xml:space="preserve"> do geotêxtil filtrante</w:t>
            </w:r>
          </w:p>
        </w:tc>
        <w:tc>
          <w:tcPr>
            <w:tcW w:type="dxa" w:w="2795"/>
            <w:shd w:val="clear" w:color="auto" w:fill="F8F9F6"/>
          </w:tcPr>
          <w:p>
            <w:pPr>
              <w:spacing w:before="0" w:after="0" w:line="264" w:lineRule="auto"/>
            </w:pPr>
            <w:r>
              <w:rPr>
                <w:color w:val="14202B"/>
                <w:sz w:val="17"/>
              </w:rPr>
              <w:t>≤ 187 µm</w:t>
            </w:r>
          </w:p>
        </w:tc>
        <w:tc>
          <w:tcPr>
            <w:tcW w:type="dxa" w:w="1638"/>
            <w:shd w:val="clear" w:color="auto" w:fill="F8F9F6"/>
          </w:tcPr>
          <w:p>
            <w:pPr>
              <w:spacing w:before="0" w:after="0" w:line="264" w:lineRule="auto"/>
            </w:pPr>
            <w:r>
              <w:rPr>
                <w:color w:val="14202B"/>
                <w:sz w:val="17"/>
              </w:rPr>
              <w:t>EN ISO 12956</w:t>
            </w:r>
          </w:p>
        </w:tc>
        <w:tc>
          <w:tcPr>
            <w:tcW w:type="dxa" w:w="2024"/>
            <w:shd w:val="clear" w:color="auto" w:fill="F8F9F6"/>
          </w:tcPr>
          <w:p>
            <w:pPr>
              <w:spacing w:before="0" w:after="0" w:line="264" w:lineRule="auto"/>
            </w:pPr>
            <w:r>
              <w:rPr>
                <w:color w:val="14202B"/>
                <w:sz w:val="17"/>
              </w:rPr>
              <w:t>Declaração de desempenho (DoP620hd-007) ou relatório de ensaio</w:t>
            </w:r>
          </w:p>
        </w:tc>
      </w:tr>
      <w:tr>
        <w:trPr>
          <w:cantSplit/>
        </w:trPr>
        <w:tc>
          <w:tcPr>
            <w:tcW w:type="dxa" w:w="3180"/>
          </w:tcPr>
          <w:p>
            <w:pPr>
              <w:spacing w:before="0" w:after="0" w:line="264" w:lineRule="auto"/>
            </w:pPr>
            <w:r>
              <w:rPr>
                <w:color w:val="14202B"/>
                <w:sz w:val="17"/>
              </w:rPr>
              <w:t>Permeabilidade à água H</w:t>
            </w:r>
            <w:r>
              <w:rPr>
                <w:color w:val="14202B"/>
                <w:sz w:val="17"/>
                <w:vertAlign w:val="subscript"/>
              </w:rPr>
              <w:t>50</w:t>
            </w:r>
            <w:r>
              <w:rPr>
                <w:color w:val="14202B"/>
                <w:sz w:val="17"/>
              </w:rPr>
              <w:t xml:space="preserve"> do geotêxtil filtrante</w:t>
            </w:r>
          </w:p>
        </w:tc>
        <w:tc>
          <w:tcPr>
            <w:tcW w:type="dxa" w:w="2795"/>
          </w:tcPr>
          <w:p>
            <w:pPr>
              <w:spacing w:before="0" w:after="0" w:line="264" w:lineRule="auto"/>
            </w:pPr>
            <w:r>
              <w:rPr>
                <w:color w:val="14202B"/>
                <w:sz w:val="17"/>
              </w:rPr>
              <w:t>≥ 44 mm/s</w:t>
            </w:r>
          </w:p>
        </w:tc>
        <w:tc>
          <w:tcPr>
            <w:tcW w:type="dxa" w:w="1638"/>
          </w:tcPr>
          <w:p>
            <w:pPr>
              <w:spacing w:before="0" w:after="0" w:line="264" w:lineRule="auto"/>
            </w:pPr>
            <w:r>
              <w:rPr>
                <w:color w:val="14202B"/>
                <w:sz w:val="17"/>
              </w:rPr>
              <w:t>EN ISO 11058</w:t>
            </w:r>
          </w:p>
        </w:tc>
        <w:tc>
          <w:tcPr>
            <w:tcW w:type="dxa" w:w="2024"/>
          </w:tcPr>
          <w:p>
            <w:pPr>
              <w:spacing w:before="0" w:after="0" w:line="264" w:lineRule="auto"/>
            </w:pPr>
            <w:r>
              <w:rPr>
                <w:color w:val="14202B"/>
                <w:sz w:val="17"/>
              </w:rPr>
              <w:t>Declaração de desempenho (DoP620hd-007) ou relatório de ensaio</w:t>
            </w:r>
          </w:p>
        </w:tc>
      </w:tr>
      <w:tr>
        <w:trPr>
          <w:cantSplit/>
        </w:trPr>
        <w:tc>
          <w:tcPr>
            <w:tcW w:type="dxa" w:w="3180"/>
            <w:shd w:val="clear" w:color="auto" w:fill="F8F9F6"/>
          </w:tcPr>
          <w:p>
            <w:pPr>
              <w:spacing w:before="0" w:after="0" w:line="264" w:lineRule="auto"/>
            </w:pPr>
            <w:r>
              <w:rPr>
                <w:color w:val="14202B"/>
                <w:sz w:val="17"/>
              </w:rPr>
              <w:t>Resistência ao punçoamento estático CBR do geotêxtil filtrante</w:t>
            </w:r>
          </w:p>
        </w:tc>
        <w:tc>
          <w:tcPr>
            <w:tcW w:type="dxa" w:w="2795"/>
            <w:shd w:val="clear" w:color="auto" w:fill="F8F9F6"/>
          </w:tcPr>
          <w:p>
            <w:pPr>
              <w:spacing w:before="0" w:after="0" w:line="264" w:lineRule="auto"/>
            </w:pPr>
            <w:r>
              <w:rPr>
                <w:color w:val="14202B"/>
                <w:sz w:val="17"/>
              </w:rPr>
              <w:t>≥ 4 kN</w:t>
            </w:r>
          </w:p>
        </w:tc>
        <w:tc>
          <w:tcPr>
            <w:tcW w:type="dxa" w:w="1638"/>
            <w:shd w:val="clear" w:color="auto" w:fill="F8F9F6"/>
          </w:tcPr>
          <w:p>
            <w:pPr>
              <w:spacing w:before="0" w:after="0" w:line="264" w:lineRule="auto"/>
            </w:pPr>
            <w:r>
              <w:rPr>
                <w:color w:val="14202B"/>
                <w:sz w:val="17"/>
              </w:rPr>
              <w:t>EN ISO 12236</w:t>
            </w:r>
          </w:p>
        </w:tc>
        <w:tc>
          <w:tcPr>
            <w:tcW w:type="dxa" w:w="2024"/>
            <w:shd w:val="clear" w:color="auto" w:fill="F8F9F6"/>
          </w:tcPr>
          <w:p>
            <w:pPr>
              <w:spacing w:before="0" w:after="0" w:line="264" w:lineRule="auto"/>
            </w:pPr>
            <w:r>
              <w:rPr>
                <w:color w:val="14202B"/>
                <w:sz w:val="17"/>
              </w:rPr>
              <w:t>Declaração de desempenho (DoP620hd-007) ou relatório de ensaio</w:t>
            </w:r>
          </w:p>
        </w:tc>
      </w:tr>
      <w:tr>
        <w:trPr>
          <w:cantSplit/>
        </w:trPr>
        <w:tc>
          <w:tcPr>
            <w:tcW w:type="dxa" w:w="3180"/>
          </w:tcPr>
          <w:p>
            <w:pPr>
              <w:spacing w:before="0" w:after="0" w:line="264" w:lineRule="auto"/>
            </w:pPr>
            <w:r>
              <w:rPr>
                <w:color w:val="14202B"/>
                <w:sz w:val="17"/>
              </w:rPr>
              <w:t>Resistência à tração do geotêxtil filtrante (DM/DT)</w:t>
            </w:r>
          </w:p>
        </w:tc>
        <w:tc>
          <w:tcPr>
            <w:tcW w:type="dxa" w:w="2795"/>
          </w:tcPr>
          <w:p>
            <w:pPr>
              <w:spacing w:before="0" w:after="0" w:line="264" w:lineRule="auto"/>
            </w:pPr>
            <w:r>
              <w:rPr>
                <w:color w:val="14202B"/>
                <w:sz w:val="17"/>
              </w:rPr>
              <w:t>≥ 44/52 kN/m</w:t>
            </w:r>
          </w:p>
        </w:tc>
        <w:tc>
          <w:tcPr>
            <w:tcW w:type="dxa" w:w="1638"/>
          </w:tcPr>
          <w:p>
            <w:pPr>
              <w:spacing w:before="0" w:after="0" w:line="264" w:lineRule="auto"/>
            </w:pPr>
            <w:r>
              <w:rPr>
                <w:color w:val="14202B"/>
                <w:sz w:val="17"/>
              </w:rPr>
              <w:t>EN ISO 10319</w:t>
            </w:r>
          </w:p>
        </w:tc>
        <w:tc>
          <w:tcPr>
            <w:tcW w:type="dxa" w:w="2024"/>
          </w:tcPr>
          <w:p>
            <w:pPr>
              <w:spacing w:before="0" w:after="0" w:line="264" w:lineRule="auto"/>
            </w:pPr>
            <w:r>
              <w:rPr>
                <w:color w:val="14202B"/>
                <w:sz w:val="17"/>
              </w:rPr>
              <w:t>Declaração de desempenho (DoP620hd-007) ou 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80" w:after="40" w:line="264" w:lineRule="auto"/>
      </w:pPr>
      <w:r>
        <w:rPr>
          <w:b/>
          <w:i w:val="0"/>
          <w:color w:val="4F6B2A"/>
          <w:sz w:val="18"/>
        </w:rPr>
        <w:t>[Opção D · ND 600sv, cobertura invertida com tráfego de automóveis]</w:t>
      </w:r>
    </w:p>
    <w:p>
      <w:pPr>
        <w:spacing w:before="0" w:after="100" w:line="288" w:lineRule="auto"/>
      </w:pPr>
      <w:r>
        <w:rPr>
          <w:b/>
          <w:sz w:val="20"/>
        </w:rPr>
        <w:t>Descrição.</w:t>
      </w:r>
      <w:r>
        <w:rPr>
          <w:sz w:val="20"/>
        </w:rPr>
        <w:t xml:space="preserve"> Fornecimento e colocação, sobre o isolamento térmico da cobertura invertida, de sistema de drenagem </w:t>
      </w:r>
      <w:r>
        <w:rPr>
          <w:b/>
          <w:sz w:val="20"/>
        </w:rPr>
        <w:t>ND 600sv</w:t>
      </w:r>
      <w:r>
        <w:rPr>
          <w:sz w:val="20"/>
        </w:rPr>
        <w:t xml:space="preserve"> da Nophadrain, de núcleo perfurado, para coberturas invertidas: núcleo alveolar em HIPS, filtro em geotêxtil de PP (tecido) e altura de construção de 13 mm, ou equivalente previamente aprovado pela fiscalização, incluindo sobreposições, cortes, remates junto de ralos, caixas de inspeção e bordos.</w:t>
      </w:r>
    </w:p>
    <w:p>
      <w:pPr>
        <w:keepNext/>
        <w:spacing w:before="0" w:after="100" w:line="288" w:lineRule="auto"/>
      </w:pPr>
      <w:r>
        <w:rPr>
          <w:b/>
          <w:sz w:val="20"/>
        </w:rPr>
        <w:t>Quadro de desempenho exigido.</w:t>
      </w:r>
      <w:r>
        <w:rPr>
          <w:sz w:val="20"/>
        </w:rPr>
        <w:t xml:space="preserve"> O sistema de drenagem cumpre, no mínimo, os valores seguintes.</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3180"/>
        <w:gridCol w:w="2795"/>
        <w:gridCol w:w="1638"/>
        <w:gridCol w:w="2024"/>
      </w:tblGrid>
      <w:tr>
        <w:trPr>
          <w:tblHeader w:val="true"/>
          <w:cantSplit/>
        </w:trPr>
        <w:tc>
          <w:tcPr>
            <w:tcW w:type="dxa" w:w="3180"/>
            <w:shd w:val="clear" w:color="auto" w:fill="4F6B2A"/>
          </w:tcPr>
          <w:p>
            <w:pPr>
              <w:spacing w:before="0" w:after="0" w:line="252" w:lineRule="auto"/>
            </w:pPr>
            <w:r>
              <w:rPr>
                <w:b/>
                <w:color w:val="FFFFFF"/>
                <w:sz w:val="16"/>
              </w:rPr>
              <w:t>Característica</w:t>
            </w:r>
          </w:p>
        </w:tc>
        <w:tc>
          <w:tcPr>
            <w:tcW w:type="dxa" w:w="2795"/>
            <w:shd w:val="clear" w:color="auto" w:fill="4F6B2A"/>
          </w:tcPr>
          <w:p>
            <w:pPr>
              <w:spacing w:before="0" w:after="0" w:line="252" w:lineRule="auto"/>
            </w:pPr>
            <w:r>
              <w:rPr>
                <w:b/>
                <w:color w:val="FFFFFF"/>
                <w:sz w:val="16"/>
              </w:rPr>
              <w:t>Valor exigido</w:t>
            </w:r>
          </w:p>
        </w:tc>
        <w:tc>
          <w:tcPr>
            <w:tcW w:type="dxa" w:w="1638"/>
            <w:shd w:val="clear" w:color="auto" w:fill="4F6B2A"/>
          </w:tcPr>
          <w:p>
            <w:pPr>
              <w:spacing w:before="0" w:after="0" w:line="252" w:lineRule="auto"/>
            </w:pPr>
            <w:r>
              <w:rPr>
                <w:b/>
                <w:color w:val="FFFFFF"/>
                <w:sz w:val="16"/>
              </w:rPr>
              <w:t>Norma de ensaio</w:t>
            </w:r>
          </w:p>
        </w:tc>
        <w:tc>
          <w:tcPr>
            <w:tcW w:type="dxa" w:w="2024"/>
            <w:shd w:val="clear" w:color="auto" w:fill="4F6B2A"/>
          </w:tcPr>
          <w:p>
            <w:pPr>
              <w:spacing w:before="0" w:after="0" w:line="252" w:lineRule="auto"/>
            </w:pPr>
            <w:r>
              <w:rPr>
                <w:b/>
                <w:color w:val="FFFFFF"/>
                <w:sz w:val="16"/>
              </w:rPr>
              <w:t>Documento comprovativo</w:t>
            </w:r>
          </w:p>
        </w:tc>
      </w:tr>
      <w:tr>
        <w:trPr>
          <w:cantSplit/>
        </w:trPr>
        <w:tc>
          <w:tcPr>
            <w:tcW w:type="dxa" w:w="3180"/>
          </w:tcPr>
          <w:p>
            <w:pPr>
              <w:spacing w:before="0" w:after="0" w:line="264" w:lineRule="auto"/>
            </w:pPr>
            <w:r>
              <w:rPr>
                <w:color w:val="14202B"/>
                <w:sz w:val="17"/>
              </w:rPr>
              <w:t>Marcação CE e declaração de desempenho</w:t>
            </w:r>
          </w:p>
        </w:tc>
        <w:tc>
          <w:tcPr>
            <w:tcW w:type="dxa" w:w="2795"/>
          </w:tcPr>
          <w:p>
            <w:pPr>
              <w:spacing w:before="0" w:after="0" w:line="264" w:lineRule="auto"/>
            </w:pPr>
            <w:r>
              <w:rPr>
                <w:color w:val="14202B"/>
                <w:sz w:val="17"/>
              </w:rPr>
              <w:t>obrigatórias</w:t>
            </w:r>
          </w:p>
        </w:tc>
        <w:tc>
          <w:tcPr>
            <w:tcW w:type="dxa" w:w="1638"/>
          </w:tcPr>
          <w:p>
            <w:pPr>
              <w:spacing w:before="0" w:after="0" w:line="264" w:lineRule="auto"/>
            </w:pPr>
            <w:r>
              <w:rPr>
                <w:color w:val="14202B"/>
                <w:sz w:val="17"/>
              </w:rPr>
              <w:t>EN 13252</w:t>
            </w:r>
          </w:p>
        </w:tc>
        <w:tc>
          <w:tcPr>
            <w:tcW w:type="dxa" w:w="2024"/>
          </w:tcPr>
          <w:p>
            <w:pPr>
              <w:spacing w:before="0" w:after="0" w:line="264" w:lineRule="auto"/>
            </w:pPr>
            <w:r>
              <w:rPr>
                <w:color w:val="14202B"/>
                <w:sz w:val="17"/>
              </w:rPr>
              <w:t>Declaração de desempenho</w:t>
            </w:r>
          </w:p>
        </w:tc>
      </w:tr>
      <w:tr>
        <w:trPr>
          <w:cantSplit/>
        </w:trPr>
        <w:tc>
          <w:tcPr>
            <w:tcW w:type="dxa" w:w="3180"/>
            <w:shd w:val="clear" w:color="auto" w:fill="F8F9F6"/>
          </w:tcPr>
          <w:p>
            <w:pPr>
              <w:spacing w:before="0" w:after="0" w:line="264" w:lineRule="auto"/>
            </w:pPr>
            <w:r>
              <w:rPr>
                <w:color w:val="14202B"/>
                <w:sz w:val="17"/>
              </w:rPr>
              <w:t>Resistência à compressão</w:t>
            </w:r>
          </w:p>
        </w:tc>
        <w:tc>
          <w:tcPr>
            <w:tcW w:type="dxa" w:w="2795"/>
            <w:shd w:val="clear" w:color="auto" w:fill="F8F9F6"/>
          </w:tcPr>
          <w:p>
            <w:pPr>
              <w:spacing w:before="0" w:after="0" w:line="264" w:lineRule="auto"/>
            </w:pPr>
            <w:r>
              <w:rPr>
                <w:color w:val="14202B"/>
                <w:sz w:val="17"/>
              </w:rPr>
              <w:t>≥ 900 kPa</w:t>
            </w:r>
          </w:p>
        </w:tc>
        <w:tc>
          <w:tcPr>
            <w:tcW w:type="dxa" w:w="1638"/>
            <w:shd w:val="clear" w:color="auto" w:fill="F8F9F6"/>
          </w:tcPr>
          <w:p>
            <w:pPr>
              <w:spacing w:before="0" w:after="0" w:line="264" w:lineRule="auto"/>
            </w:pPr>
            <w:r>
              <w:rPr>
                <w:color w:val="14202B"/>
                <w:sz w:val="17"/>
              </w:rPr>
              <w:t>EN ISO 25619-2</w:t>
            </w:r>
          </w:p>
        </w:tc>
        <w:tc>
          <w:tcPr>
            <w:tcW w:type="dxa" w:w="2024"/>
            <w:shd w:val="clear" w:color="auto" w:fill="F8F9F6"/>
          </w:tcPr>
          <w:p>
            <w:pPr>
              <w:spacing w:before="0" w:after="0" w:line="264" w:lineRule="auto"/>
            </w:pPr>
            <w:r>
              <w:rPr>
                <w:color w:val="14202B"/>
                <w:sz w:val="17"/>
              </w:rPr>
              <w:t>Declaração de desempenho (DoP600sv-008) ou relatório de ensaio</w:t>
            </w:r>
          </w:p>
        </w:tc>
      </w:tr>
      <w:tr>
        <w:trPr>
          <w:cantSplit/>
        </w:trPr>
        <w:tc>
          <w:tcPr>
            <w:tcW w:type="dxa" w:w="3180"/>
          </w:tcPr>
          <w:p>
            <w:pPr>
              <w:spacing w:before="0" w:after="0" w:line="264" w:lineRule="auto"/>
            </w:pPr>
            <w:r>
              <w:rPr>
                <w:color w:val="14202B"/>
                <w:sz w:val="17"/>
              </w:rPr>
              <w:t>Capacidade de drenagem no plano, i = 1, a 20 kPa</w:t>
            </w:r>
          </w:p>
        </w:tc>
        <w:tc>
          <w:tcPr>
            <w:tcW w:type="dxa" w:w="2795"/>
          </w:tcPr>
          <w:p>
            <w:pPr>
              <w:spacing w:before="0" w:after="0" w:line="264" w:lineRule="auto"/>
            </w:pPr>
            <w:r>
              <w:rPr>
                <w:color w:val="14202B"/>
                <w:sz w:val="17"/>
              </w:rPr>
              <w:t>≥ 5,27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(DoP600sv-008) ou relatório de ensaio</w:t>
            </w:r>
          </w:p>
        </w:tc>
      </w:tr>
      <w:tr>
        <w:trPr>
          <w:cantSplit/>
        </w:trPr>
        <w:tc>
          <w:tcPr>
            <w:tcW w:type="dxa" w:w="3180"/>
            <w:shd w:val="clear" w:color="auto" w:fill="F8F9F6"/>
          </w:tcPr>
          <w:p>
            <w:pPr>
              <w:spacing w:before="0" w:after="0" w:line="264" w:lineRule="auto"/>
            </w:pPr>
            <w:r>
              <w:rPr>
                <w:color w:val="14202B"/>
                <w:sz w:val="17"/>
              </w:rPr>
              <w:t>Capacidade de drenagem no plano, pendente de 2 %, 200 kPa (cobertura de estacionamento)</w:t>
            </w:r>
          </w:p>
        </w:tc>
        <w:tc>
          <w:tcPr>
            <w:tcW w:type="dxa" w:w="2795"/>
            <w:shd w:val="clear" w:color="auto" w:fill="F8F9F6"/>
          </w:tcPr>
          <w:p>
            <w:pPr>
              <w:spacing w:before="0" w:after="0" w:line="264" w:lineRule="auto"/>
            </w:pPr>
            <w:r>
              <w:rPr>
                <w:color w:val="14202B"/>
                <w:sz w:val="17"/>
              </w:rPr>
              <w:t>≥ 0,44 l/(s·m)</w:t>
            </w:r>
          </w:p>
        </w:tc>
        <w:tc>
          <w:tcPr>
            <w:tcW w:type="dxa" w:w="1638"/>
            <w:shd w:val="clear" w:color="auto" w:fill="F8F9F6"/>
          </w:tcPr>
          <w:p>
            <w:pPr>
              <w:spacing w:before="0" w:after="0" w:line="264" w:lineRule="auto"/>
            </w:pPr>
            <w:r>
              <w:rPr>
                <w:color w:val="14202B"/>
                <w:sz w:val="17"/>
              </w:rPr>
              <w:t>EN ISO 12958</w:t>
            </w:r>
          </w:p>
        </w:tc>
        <w:tc>
          <w:tcPr>
            <w:tcW w:type="dxa" w:w="2024"/>
            <w:shd w:val="clear" w:color="auto" w:fill="F8F9F6"/>
          </w:tcPr>
          <w:p>
            <w:pPr>
              <w:spacing w:before="0" w:after="0" w:line="264" w:lineRule="auto"/>
            </w:pPr>
            <w:r>
              <w:rPr>
                <w:color w:val="14202B"/>
                <w:sz w:val="17"/>
              </w:rPr>
              <w:t>Declaração de desempenho (DoP600sv-008) ou relatório de ensaio</w:t>
            </w:r>
          </w:p>
        </w:tc>
      </w:tr>
      <w:tr>
        <w:trPr>
          <w:cantSplit/>
        </w:trPr>
        <w:tc>
          <w:tcPr>
            <w:tcW w:type="dxa" w:w="3180"/>
          </w:tcPr>
          <w:p>
            <w:pPr>
              <w:spacing w:before="0" w:after="0" w:line="264" w:lineRule="auto"/>
            </w:pPr>
            <w:r>
              <w:rPr>
                <w:color w:val="14202B"/>
                <w:sz w:val="17"/>
              </w:rPr>
              <w:t>Capacidade de drenagem no plano, com a pendente do projeto e a carga de tráfego de automóveis</w:t>
            </w:r>
          </w:p>
        </w:tc>
        <w:tc>
          <w:tcPr>
            <w:tcW w:type="dxa" w:w="2795"/>
          </w:tcPr>
          <w:p>
            <w:pPr>
              <w:spacing w:before="0" w:after="0" w:line="264" w:lineRule="auto"/>
            </w:pPr>
            <w:r>
              <w:rPr>
                <w:color w:val="14202B"/>
                <w:sz w:val="17"/>
              </w:rPr>
              <w:t>≥ [valor calculado] l/(s·m)</w:t>
            </w:r>
          </w:p>
        </w:tc>
        <w:tc>
          <w:tcPr>
            <w:tcW w:type="dxa" w:w="1638"/>
          </w:tcPr>
          <w:p>
            <w:pPr>
              <w:spacing w:before="0" w:after="0" w:line="264" w:lineRule="auto"/>
            </w:pPr>
            <w:r>
              <w:rPr>
                <w:color w:val="14202B"/>
                <w:sz w:val="17"/>
              </w:rPr>
              <w:t>EN ISO 12958</w:t>
            </w:r>
          </w:p>
        </w:tc>
        <w:tc>
          <w:tcPr>
            <w:tcW w:type="dxa" w:w="2024"/>
          </w:tcPr>
          <w:p>
            <w:pPr>
              <w:spacing w:before="0" w:after="0" w:line="264" w:lineRule="auto"/>
            </w:pPr>
            <w:r>
              <w:rPr>
                <w:color w:val="14202B"/>
                <w:sz w:val="17"/>
              </w:rPr>
              <w:t>Declaração de desempenho (DoP600sv-008) ou relatório de ensaio</w:t>
            </w:r>
          </w:p>
        </w:tc>
      </w:tr>
      <w:tr>
        <w:trPr>
          <w:cantSplit/>
        </w:trPr>
        <w:tc>
          <w:tcPr>
            <w:tcW w:type="dxa" w:w="3180"/>
            <w:shd w:val="clear" w:color="auto" w:fill="F8F9F6"/>
          </w:tcPr>
          <w:p>
            <w:pPr>
              <w:spacing w:before="0" w:after="0" w:line="264" w:lineRule="auto"/>
            </w:pPr>
            <w:r>
              <w:rPr>
                <w:color w:val="14202B"/>
                <w:sz w:val="17"/>
              </w:rPr>
              <w:t>Abertura de filtração O</w:t>
            </w:r>
            <w:r>
              <w:rPr>
                <w:color w:val="14202B"/>
                <w:sz w:val="17"/>
                <w:vertAlign w:val="subscript"/>
              </w:rPr>
              <w:t>90</w:t>
            </w:r>
            <w:r>
              <w:rPr>
                <w:color w:val="14202B"/>
                <w:sz w:val="17"/>
              </w:rPr>
              <w:t xml:space="preserve"> do geotêxtil filtrante</w:t>
            </w:r>
          </w:p>
        </w:tc>
        <w:tc>
          <w:tcPr>
            <w:tcW w:type="dxa" w:w="2795"/>
            <w:shd w:val="clear" w:color="auto" w:fill="F8F9F6"/>
          </w:tcPr>
          <w:p>
            <w:pPr>
              <w:spacing w:before="0" w:after="0" w:line="264" w:lineRule="auto"/>
            </w:pPr>
            <w:r>
              <w:rPr>
                <w:color w:val="14202B"/>
                <w:sz w:val="17"/>
              </w:rPr>
              <w:t>≤ 180 µm</w:t>
            </w:r>
          </w:p>
        </w:tc>
        <w:tc>
          <w:tcPr>
            <w:tcW w:type="dxa" w:w="1638"/>
            <w:shd w:val="clear" w:color="auto" w:fill="F8F9F6"/>
          </w:tcPr>
          <w:p>
            <w:pPr>
              <w:spacing w:before="0" w:after="0" w:line="264" w:lineRule="auto"/>
            </w:pPr>
            <w:r>
              <w:rPr>
                <w:color w:val="14202B"/>
                <w:sz w:val="17"/>
              </w:rPr>
              <w:t>EN ISO 12956</w:t>
            </w:r>
          </w:p>
        </w:tc>
        <w:tc>
          <w:tcPr>
            <w:tcW w:type="dxa" w:w="2024"/>
            <w:shd w:val="clear" w:color="auto" w:fill="F8F9F6"/>
          </w:tcPr>
          <w:p>
            <w:pPr>
              <w:spacing w:before="0" w:after="0" w:line="264" w:lineRule="auto"/>
            </w:pPr>
            <w:r>
              <w:rPr>
                <w:color w:val="14202B"/>
                <w:sz w:val="17"/>
              </w:rPr>
              <w:t>Declaração de desempenho (DoP600sv-008) ou relatório de ensaio</w:t>
            </w:r>
          </w:p>
        </w:tc>
      </w:tr>
      <w:tr>
        <w:trPr>
          <w:cantSplit/>
        </w:trPr>
        <w:tc>
          <w:tcPr>
            <w:tcW w:type="dxa" w:w="3180"/>
          </w:tcPr>
          <w:p>
            <w:pPr>
              <w:spacing w:before="0" w:after="0" w:line="264" w:lineRule="auto"/>
            </w:pPr>
            <w:r>
              <w:rPr>
                <w:color w:val="14202B"/>
                <w:sz w:val="17"/>
              </w:rPr>
              <w:t>Permeabilidade à água H</w:t>
            </w:r>
            <w:r>
              <w:rPr>
                <w:color w:val="14202B"/>
                <w:sz w:val="17"/>
                <w:vertAlign w:val="subscript"/>
              </w:rPr>
              <w:t>50</w:t>
            </w:r>
            <w:r>
              <w:rPr>
                <w:color w:val="14202B"/>
                <w:sz w:val="17"/>
              </w:rPr>
              <w:t xml:space="preserve"> do geotêxtil filtrante</w:t>
            </w:r>
          </w:p>
        </w:tc>
        <w:tc>
          <w:tcPr>
            <w:tcW w:type="dxa" w:w="2795"/>
          </w:tcPr>
          <w:p>
            <w:pPr>
              <w:spacing w:before="0" w:after="0" w:line="264" w:lineRule="auto"/>
            </w:pPr>
            <w:r>
              <w:rPr>
                <w:color w:val="14202B"/>
                <w:sz w:val="17"/>
              </w:rPr>
              <w:t>≥ 40 mm/s</w:t>
            </w:r>
          </w:p>
        </w:tc>
        <w:tc>
          <w:tcPr>
            <w:tcW w:type="dxa" w:w="1638"/>
          </w:tcPr>
          <w:p>
            <w:pPr>
              <w:spacing w:before="0" w:after="0" w:line="264" w:lineRule="auto"/>
            </w:pPr>
            <w:r>
              <w:rPr>
                <w:color w:val="14202B"/>
                <w:sz w:val="17"/>
              </w:rPr>
              <w:t>EN ISO 11058</w:t>
            </w:r>
          </w:p>
        </w:tc>
        <w:tc>
          <w:tcPr>
            <w:tcW w:type="dxa" w:w="2024"/>
          </w:tcPr>
          <w:p>
            <w:pPr>
              <w:spacing w:before="0" w:after="0" w:line="264" w:lineRule="auto"/>
            </w:pPr>
            <w:r>
              <w:rPr>
                <w:color w:val="14202B"/>
                <w:sz w:val="17"/>
              </w:rPr>
              <w:t>Declaração de desempenho (DoP600sv-008) ou relatório de ensaio</w:t>
            </w:r>
          </w:p>
        </w:tc>
      </w:tr>
      <w:tr>
        <w:trPr>
          <w:cantSplit/>
        </w:trPr>
        <w:tc>
          <w:tcPr>
            <w:tcW w:type="dxa" w:w="3180"/>
            <w:shd w:val="clear" w:color="auto" w:fill="F8F9F6"/>
          </w:tcPr>
          <w:p>
            <w:pPr>
              <w:spacing w:before="0" w:after="0" w:line="264" w:lineRule="auto"/>
            </w:pPr>
            <w:r>
              <w:rPr>
                <w:color w:val="14202B"/>
                <w:sz w:val="17"/>
              </w:rPr>
              <w:t>Resistência ao punçoamento estático CBR do geotêxtil filtrante</w:t>
            </w:r>
          </w:p>
        </w:tc>
        <w:tc>
          <w:tcPr>
            <w:tcW w:type="dxa" w:w="2795"/>
            <w:shd w:val="clear" w:color="auto" w:fill="F8F9F6"/>
          </w:tcPr>
          <w:p>
            <w:pPr>
              <w:spacing w:before="0" w:after="0" w:line="264" w:lineRule="auto"/>
            </w:pPr>
            <w:r>
              <w:rPr>
                <w:color w:val="14202B"/>
                <w:sz w:val="17"/>
              </w:rPr>
              <w:t>≥ 5 kN</w:t>
            </w:r>
          </w:p>
        </w:tc>
        <w:tc>
          <w:tcPr>
            <w:tcW w:type="dxa" w:w="1638"/>
            <w:shd w:val="clear" w:color="auto" w:fill="F8F9F6"/>
          </w:tcPr>
          <w:p>
            <w:pPr>
              <w:spacing w:before="0" w:after="0" w:line="264" w:lineRule="auto"/>
            </w:pPr>
            <w:r>
              <w:rPr>
                <w:color w:val="14202B"/>
                <w:sz w:val="17"/>
              </w:rPr>
              <w:t>EN ISO 12236</w:t>
            </w:r>
          </w:p>
        </w:tc>
        <w:tc>
          <w:tcPr>
            <w:tcW w:type="dxa" w:w="2024"/>
            <w:shd w:val="clear" w:color="auto" w:fill="F8F9F6"/>
          </w:tcPr>
          <w:p>
            <w:pPr>
              <w:spacing w:before="0" w:after="0" w:line="264" w:lineRule="auto"/>
            </w:pPr>
            <w:r>
              <w:rPr>
                <w:color w:val="14202B"/>
                <w:sz w:val="17"/>
              </w:rPr>
              <w:t>Declaração de desempenho (DoP600sv-008) ou relatório de ensaio</w:t>
            </w:r>
          </w:p>
        </w:tc>
      </w:tr>
      <w:tr>
        <w:trPr>
          <w:cantSplit/>
        </w:trPr>
        <w:tc>
          <w:tcPr>
            <w:tcW w:type="dxa" w:w="3180"/>
          </w:tcPr>
          <w:p>
            <w:pPr>
              <w:spacing w:before="0" w:after="0" w:line="264" w:lineRule="auto"/>
            </w:pPr>
            <w:r>
              <w:rPr>
                <w:color w:val="14202B"/>
                <w:sz w:val="17"/>
              </w:rPr>
              <w:t>Resistência à tração do geotêxtil filtrante (DM/DT)</w:t>
            </w:r>
          </w:p>
        </w:tc>
        <w:tc>
          <w:tcPr>
            <w:tcW w:type="dxa" w:w="2795"/>
          </w:tcPr>
          <w:p>
            <w:pPr>
              <w:spacing w:before="0" w:after="0" w:line="264" w:lineRule="auto"/>
            </w:pPr>
            <w:r>
              <w:rPr>
                <w:color w:val="14202B"/>
                <w:sz w:val="17"/>
              </w:rPr>
              <w:t>≥ 50/40 kN/m</w:t>
            </w:r>
          </w:p>
        </w:tc>
        <w:tc>
          <w:tcPr>
            <w:tcW w:type="dxa" w:w="1638"/>
          </w:tcPr>
          <w:p>
            <w:pPr>
              <w:spacing w:before="0" w:after="0" w:line="264" w:lineRule="auto"/>
            </w:pPr>
            <w:r>
              <w:rPr>
                <w:color w:val="14202B"/>
                <w:sz w:val="17"/>
              </w:rPr>
              <w:t>EN ISO 10319</w:t>
            </w:r>
          </w:p>
        </w:tc>
        <w:tc>
          <w:tcPr>
            <w:tcW w:type="dxa" w:w="2024"/>
          </w:tcPr>
          <w:p>
            <w:pPr>
              <w:spacing w:before="0" w:after="0" w:line="264" w:lineRule="auto"/>
            </w:pPr>
            <w:r>
              <w:rPr>
                <w:color w:val="14202B"/>
                <w:sz w:val="17"/>
              </w:rPr>
              <w:t>Declaração de desempenho (DoP600sv-008) ou relatório de ensaio</w:t>
            </w:r>
          </w:p>
        </w:tc>
      </w:tr>
    </w:tbl>
    <w:p>
      <w:pPr>
        <w:spacing w:before="0" w:after="80" w:line="240" w:lineRule="auto"/>
      </w:pPr>
    </w:p>
    <w:p>
      <w:pPr>
        <w:spacing w:before="0" w:after="100" w:line="288" w:lineRule="auto"/>
      </w:pPr>
      <w:r>
        <w:rPr>
          <w:b/>
          <w:sz w:val="20"/>
        </w:rPr>
        <w:t>Equivalência.</w:t>
      </w:r>
      <w:r>
        <w:rPr>
          <w:sz w:val="20"/>
        </w:rPr>
        <w:t xml:space="preserve"> Admite-se produto equivalente desde que cada valor do quadro seja demonstrado pelo documento comprovativo indicado. Quando há norma de ensaio, o valor é medido segundo essa norma, em relatório de laboratório acreditado. A demonstração é feita antes da aprovação do material pela fiscalização.</w:t>
      </w:r>
    </w:p>
    <w:p>
      <w:pPr>
        <w:keepNext/>
        <w:spacing w:before="160" w:after="60" w:line="264" w:lineRule="auto"/>
      </w:pPr>
      <w:r>
        <w:rPr>
          <w:b/>
          <w:color w:val="14202B"/>
          <w:sz w:val="21"/>
        </w:rPr>
        <w:t>Artigo [n.º] · Camada de assentamento</w:t>
      </w:r>
    </w:p>
    <w:p>
      <w:pPr>
        <w:spacing w:before="0" w:after="100" w:line="288" w:lineRule="auto"/>
      </w:pPr>
      <w:r>
        <w:rPr>
          <w:b/>
          <w:sz w:val="20"/>
        </w:rPr>
        <w:t>Descrição.</w:t>
      </w:r>
      <w:r>
        <w:rPr>
          <w:sz w:val="20"/>
        </w:rPr>
        <w:t xml:space="preserve"> Camada de assentamento em seixo rolado ou areia britada, não compactada, com 30 a 50 mm de espessura e granulometria [ ] mm, regularizada.</w:t>
      </w:r>
    </w:p>
    <w:p>
      <w:pPr>
        <w:keepNext/>
        <w:spacing w:before="160" w:after="60" w:line="264" w:lineRule="auto"/>
      </w:pPr>
      <w:r>
        <w:rPr>
          <w:b/>
          <w:color w:val="14202B"/>
          <w:sz w:val="21"/>
        </w:rPr>
        <w:t>Artigo [n.º] · Pavimento modular</w:t>
      </w:r>
    </w:p>
    <w:p>
      <w:pPr>
        <w:spacing w:before="0" w:after="100" w:line="288" w:lineRule="auto"/>
      </w:pPr>
      <w:r>
        <w:rPr>
          <w:b/>
          <w:sz w:val="20"/>
        </w:rPr>
        <w:t>Descrição.</w:t>
      </w:r>
      <w:r>
        <w:rPr>
          <w:sz w:val="20"/>
        </w:rPr>
        <w:t xml:space="preserve"> Pavimento modular de [lajetas | blocos | lajes de grande formato] em [material], com espessura mínima de [40 mm (N1) | 110 mm (N2) | 110 mm (N3)], com juntas abertas para a infiltração da água, assente na camada de assentamento, com pendente mínima de 2 % (peões) ou 2,5 % (veículos). Resistência e dimensões das peças: [ ], segundo a classe de carga.</w:t>
      </w:r>
    </w:p>
    <w:p>
      <w:pPr>
        <w:keepNext/>
        <w:spacing w:before="160" w:after="60" w:line="264" w:lineRule="auto"/>
      </w:pPr>
      <w:r>
        <w:rPr>
          <w:b/>
          <w:color w:val="14202B"/>
          <w:sz w:val="21"/>
        </w:rPr>
        <w:t>Disposições comuns</w:t>
      </w:r>
    </w:p>
    <w:p>
      <w:pPr>
        <w:spacing w:before="0" w:after="100" w:line="288" w:lineRule="auto"/>
      </w:pPr>
      <w:r>
        <w:rPr>
          <w:b/>
          <w:sz w:val="20"/>
        </w:rPr>
        <w:t>Execução.</w:t>
      </w:r>
      <w:r>
        <w:rPr>
          <w:sz w:val="20"/>
        </w:rPr>
        <w:t xml:space="preserve"> Os trabalhos seguem as instruções do fabricante e o Guia Técnico da ANCV. Os materiais armazenam-se protegidos e os produtos sintéticos ficam cobertos pelas camadas seguintes no prazo indicado na respetiva ficha técnica. Não se circula com cargas sobre as camadas já colocadas sem proteção. Os veículos de obra não circulam sobre o sistema antes de o pavimento estar concluído.</w:t>
      </w:r>
    </w:p>
    <w:p>
      <w:pPr>
        <w:keepNext/>
        <w:spacing w:before="160" w:after="60" w:line="264" w:lineRule="auto"/>
      </w:pPr>
      <w:r>
        <w:rPr>
          <w:b/>
          <w:color w:val="14202B"/>
          <w:sz w:val="21"/>
        </w:rPr>
        <w:t>Ensaios e verificações</w:t>
      </w:r>
    </w:p>
    <w:p>
      <w:pPr>
        <w:pStyle w:val="ListBullet"/>
        <w:spacing w:before="0" w:after="40" w:line="276" w:lineRule="auto"/>
      </w:pPr>
      <w:r>
        <w:rPr>
          <w:sz w:val="20"/>
        </w:rPr>
        <w:t>Antes da camada de assentamento: verificação da continuidade da camada de deslizamento e do sistema de drenagem, das sobreposições e dos remates junto dos ralos e das soleiras.</w:t>
      </w:r>
    </w:p>
    <w:p>
      <w:pPr>
        <w:pStyle w:val="ListBullet"/>
        <w:spacing w:before="0" w:after="40" w:line="276" w:lineRule="auto"/>
      </w:pPr>
      <w:r>
        <w:rPr>
          <w:sz w:val="20"/>
        </w:rPr>
        <w:t>Pendentes e planeza do pavimento acabado; funcionamento dos ralos e das grelhas.</w:t>
      </w:r>
    </w:p>
    <w:p>
      <w:pPr>
        <w:spacing w:before="0" w:after="100" w:line="288" w:lineRule="auto"/>
      </w:pPr>
      <w:r>
        <w:rPr>
          <w:b/>
          <w:sz w:val="20"/>
        </w:rPr>
        <w:t>Receção.</w:t>
      </w:r>
      <w:r>
        <w:rPr>
          <w:sz w:val="20"/>
        </w:rPr>
        <w:t xml:space="preserve"> Verificação, com a fiscalização, das camadas executadas, das guias de remessa e dos lotes, das pendentes, das juntas e dos ralos.</w:t>
      </w:r>
    </w:p>
    <w:p>
      <w:pPr>
        <w:spacing w:before="0" w:after="100" w:line="288" w:lineRule="auto"/>
      </w:pPr>
      <w:r>
        <w:rPr>
          <w:b/>
          <w:sz w:val="20"/>
        </w:rPr>
        <w:t>Garantias.</w:t>
      </w:r>
      <w:r>
        <w:rPr>
          <w:sz w:val="20"/>
        </w:rPr>
        <w:t xml:space="preserve"> As do fabricante para os produtos; as do empreiteiro para a execução, nos termos legais.</w:t>
      </w:r>
    </w:p>
    <w:p>
      <w:pPr>
        <w:spacing w:before="0" w:after="100" w:line="288" w:lineRule="auto"/>
      </w:pPr>
      <w:r>
        <w:rPr>
          <w:b/>
          <w:sz w:val="20"/>
        </w:rPr>
        <w:t>Documentação.</w:t>
      </w:r>
      <w:r>
        <w:rPr>
          <w:sz w:val="20"/>
        </w:rPr>
        <w:t xml:space="preserve"> Fichas técnicas e declarações de desempenho dos sistemas de drenagem, ficha do pavimento e relatório de ensaio com cargas móveis, quando pedido.</w:t>
      </w:r>
    </w:p>
    <w:p>
      <w:pPr>
        <w:keepNext/>
        <w:spacing w:before="280" w:after="100" w:line="252" w:lineRule="auto"/>
        <w:pBdr>
          <w:bottom w:val="single" w:sz="6" w:space="4" w:color="DFE4D9"/>
        </w:pBdr>
      </w:pPr>
      <w:r>
        <w:rPr>
          <w:b/>
          <w:color w:val="4F6B2A"/>
          <w:sz w:val="27"/>
        </w:rPr>
        <w:t>3. Mapa de quantidades</w:t>
      </w:r>
    </w:p>
    <w:p>
      <w:pPr>
        <w:spacing w:before="0" w:after="100" w:line="288" w:lineRule="auto"/>
      </w:pPr>
      <w:r>
        <w:rPr>
          <w:b/>
          <w:sz w:val="20"/>
        </w:rPr>
        <w:t>Capítulo:</w:t>
      </w:r>
      <w:r>
        <w:rPr>
          <w:sz w:val="20"/>
        </w:rPr>
        <w:t xml:space="preserve"> Coberturas · Cobertura transitável.</w:t>
      </w:r>
    </w:p>
    <w:p>
      <w:pPr>
        <w:spacing w:before="0" w:after="100" w:line="288" w:lineRule="auto"/>
      </w:pPr>
      <w:r>
        <w:rPr>
          <w:b/>
          <w:sz w:val="20"/>
        </w:rPr>
        <w:t>Critério de medição:</w:t>
      </w:r>
      <w:r>
        <w:rPr>
          <w:sz w:val="20"/>
        </w:rPr>
        <w:t xml:space="preserve"> camadas e pavimento por área (m²); ralos, grelhas e caixas por unidade (un.).</w:t>
      </w:r>
    </w:p>
    <w:tbl>
      <w:tblPr>
        <w:tblW w:type="auto" w:w="0"/>
        <w:jc w:val="left"/>
        <w:tblLayout w:type="fixed"/>
        <w:tblLook w:firstColumn="1" w:firstRow="1" w:lastColumn="0" w:lastRow="0" w:noHBand="0" w:noVBand="1" w:val="04A0"/>
        <w:tblLayout w:type="fixed"/>
        <w:tblBorders>
          <w:top w:val="single" w:sz="4" w:color="DFE4D9"/>
          <w:left w:val="nil"/>
          <w:bottom w:val="single" w:sz="4" w:color="DFE4D9"/>
          <w:right w:val="nil"/>
          <w:insideH w:val="single" w:sz="4" w:color="DFE4D9"/>
          <w:insideV w:val="nil"/>
        </w:tblBorders>
        <w:tblCellMar>
          <w:top w:w="51" w:type="dxa"/>
          <w:bottom w:w="51" w:type="dxa"/>
          <w:left w:w="90" w:type="dxa"/>
          <w:right w:w="90" w:type="dxa"/>
        </w:tblCellMar>
      </w:tblPr>
      <w:tblGrid>
        <w:gridCol w:w="964"/>
        <w:gridCol w:w="6746"/>
        <w:gridCol w:w="771"/>
        <w:gridCol w:w="1157"/>
      </w:tblGrid>
      <w:tr>
        <w:trPr>
          <w:tblHeader w:val="true"/>
          <w:cantSplit/>
        </w:trPr>
        <w:tc>
          <w:tcPr>
            <w:tcW w:type="dxa" w:w="964"/>
            <w:shd w:val="clear" w:color="auto" w:fill="4F6B2A"/>
          </w:tcPr>
          <w:p>
            <w:pPr>
              <w:spacing w:before="0" w:after="0" w:line="252" w:lineRule="auto"/>
            </w:pPr>
            <w:r>
              <w:rPr>
                <w:b/>
                <w:color w:val="FFFFFF"/>
                <w:sz w:val="16"/>
              </w:rPr>
              <w:t>Art.</w:t>
            </w:r>
          </w:p>
        </w:tc>
        <w:tc>
          <w:tcPr>
            <w:tcW w:type="dxa" w:w="6746"/>
            <w:shd w:val="clear" w:color="auto" w:fill="4F6B2A"/>
          </w:tcPr>
          <w:p>
            <w:pPr>
              <w:spacing w:before="0" w:after="0" w:line="252" w:lineRule="auto"/>
            </w:pPr>
            <w:r>
              <w:rPr>
                <w:b/>
                <w:color w:val="FFFFFF"/>
                <w:sz w:val="16"/>
              </w:rPr>
              <w:t>Designação</w:t>
            </w:r>
          </w:p>
        </w:tc>
        <w:tc>
          <w:tcPr>
            <w:tcW w:type="dxa" w:w="771"/>
            <w:shd w:val="clear" w:color="auto" w:fill="4F6B2A"/>
          </w:tcPr>
          <w:p>
            <w:pPr>
              <w:spacing w:before="0" w:after="0" w:line="252" w:lineRule="auto"/>
            </w:pPr>
            <w:r>
              <w:rPr>
                <w:b/>
                <w:color w:val="FFFFFF"/>
                <w:sz w:val="16"/>
              </w:rPr>
              <w:t>Un.</w:t>
            </w:r>
          </w:p>
        </w:tc>
        <w:tc>
          <w:tcPr>
            <w:tcW w:type="dxa" w:w="1157"/>
            <w:shd w:val="clear" w:color="auto" w:fill="4F6B2A"/>
          </w:tcPr>
          <w:p>
            <w:pPr>
              <w:spacing w:before="0" w:after="0" w:line="252" w:lineRule="auto"/>
            </w:pPr>
            <w:r>
              <w:rPr>
                <w:b/>
                <w:color w:val="FFFFFF"/>
                <w:sz w:val="16"/>
              </w:rPr>
              <w:t>Qt.</w:t>
            </w:r>
          </w:p>
        </w:tc>
      </w:tr>
      <w:tr>
        <w:trPr>
          <w:cantSplit/>
        </w:trPr>
        <w:tc>
          <w:tcPr>
            <w:tcW w:type="dxa" w:w="964"/>
          </w:tcPr>
          <w:p>
            <w:pPr>
              <w:spacing w:before="0" w:after="0" w:line="264" w:lineRule="auto"/>
            </w:pPr>
            <w:r>
              <w:rPr>
                <w:color w:val="14202B"/>
                <w:sz w:val="17"/>
              </w:rPr>
              <w:t>[ ]</w:t>
            </w:r>
          </w:p>
        </w:tc>
        <w:tc>
          <w:tcPr>
            <w:tcW w:type="dxa" w:w="6746"/>
          </w:tcPr>
          <w:p>
            <w:pPr>
              <w:spacing w:before="0" w:after="0" w:line="264" w:lineRule="auto"/>
            </w:pPr>
            <w:r>
              <w:rPr>
                <w:color w:val="14202B"/>
                <w:sz w:val="17"/>
              </w:rPr>
              <w:t>Camada de deslizamento [ND TGF-20 | ND TSF-100], ou equivalente</w:t>
            </w:r>
          </w:p>
        </w:tc>
        <w:tc>
          <w:tcPr>
            <w:tcW w:type="dxa" w:w="771"/>
          </w:tcPr>
          <w:p>
            <w:pPr>
              <w:spacing w:before="0" w:after="0" w:line="264" w:lineRule="auto"/>
            </w:pPr>
            <w:r>
              <w:rPr>
                <w:color w:val="14202B"/>
                <w:sz w:val="17"/>
              </w:rPr>
              <w:t>m²</w:t>
            </w:r>
          </w:p>
        </w:tc>
        <w:tc>
          <w:tcPr>
            <w:tcW w:type="dxa" w:w="1157"/>
          </w:tcPr>
          <w:p>
            <w:pPr>
              <w:spacing w:before="0" w:after="0" w:line="264" w:lineRule="auto"/>
            </w:pPr>
            <w:r>
              <w:rPr>
                <w:color w:val="14202B"/>
                <w:sz w:val="17"/>
              </w:rPr>
              <w:t>[ ]</w:t>
            </w:r>
          </w:p>
        </w:tc>
      </w:tr>
      <w:tr>
        <w:trPr>
          <w:cantSplit/>
        </w:trPr>
        <w:tc>
          <w:tcPr>
            <w:tcW w:type="dxa" w:w="964"/>
            <w:shd w:val="clear" w:color="auto" w:fill="F8F9F6"/>
          </w:tcPr>
          <w:p>
            <w:pPr>
              <w:spacing w:before="0" w:after="0" w:line="264" w:lineRule="auto"/>
            </w:pPr>
            <w:r>
              <w:rPr>
                <w:color w:val="14202B"/>
                <w:sz w:val="17"/>
              </w:rPr>
              <w:t>[ ]</w:t>
            </w:r>
          </w:p>
        </w:tc>
        <w:tc>
          <w:tcPr>
            <w:tcW w:type="dxa" w:w="6746"/>
            <w:shd w:val="clear" w:color="auto" w:fill="F8F9F6"/>
          </w:tcPr>
          <w:p>
            <w:pPr>
              <w:spacing w:before="0" w:after="0" w:line="264" w:lineRule="auto"/>
            </w:pPr>
            <w:r>
              <w:rPr>
                <w:color w:val="14202B"/>
                <w:sz w:val="17"/>
              </w:rPr>
              <w:t>Sistema de drenagem com filtro tecido [ND 220 | ND 620 | ND 620hd | ND 600sv], ou equivalente, classe [N1 | N2 | N3], conforme caderno de encargos</w:t>
            </w:r>
          </w:p>
        </w:tc>
        <w:tc>
          <w:tcPr>
            <w:tcW w:type="dxa" w:w="771"/>
            <w:shd w:val="clear" w:color="auto" w:fill="F8F9F6"/>
          </w:tcPr>
          <w:p>
            <w:pPr>
              <w:spacing w:before="0" w:after="0" w:line="264" w:lineRule="auto"/>
            </w:pPr>
            <w:r>
              <w:rPr>
                <w:color w:val="14202B"/>
                <w:sz w:val="17"/>
              </w:rPr>
              <w:t>m²</w:t>
            </w:r>
          </w:p>
        </w:tc>
        <w:tc>
          <w:tcPr>
            <w:tcW w:type="dxa" w:w="1157"/>
            <w:shd w:val="clear" w:color="auto" w:fill="F8F9F6"/>
          </w:tcPr>
          <w:p>
            <w:pPr>
              <w:spacing w:before="0" w:after="0" w:line="264" w:lineRule="auto"/>
            </w:pPr>
            <w:r>
              <w:rPr>
                <w:color w:val="14202B"/>
                <w:sz w:val="17"/>
              </w:rPr>
              <w:t>[ ]</w:t>
            </w:r>
          </w:p>
        </w:tc>
      </w:tr>
      <w:tr>
        <w:trPr>
          <w:cantSplit/>
        </w:trPr>
        <w:tc>
          <w:tcPr>
            <w:tcW w:type="dxa" w:w="964"/>
          </w:tcPr>
          <w:p>
            <w:pPr>
              <w:spacing w:before="0" w:after="0" w:line="264" w:lineRule="auto"/>
            </w:pPr>
            <w:r>
              <w:rPr>
                <w:color w:val="14202B"/>
                <w:sz w:val="17"/>
              </w:rPr>
              <w:t>[ ]</w:t>
            </w:r>
          </w:p>
        </w:tc>
        <w:tc>
          <w:tcPr>
            <w:tcW w:type="dxa" w:w="6746"/>
          </w:tcPr>
          <w:p>
            <w:pPr>
              <w:spacing w:before="0" w:after="0" w:line="264" w:lineRule="auto"/>
            </w:pPr>
            <w:r>
              <w:rPr>
                <w:color w:val="14202B"/>
                <w:sz w:val="17"/>
              </w:rPr>
              <w:t>Camada de assentamento, 30 a 50 mm</w:t>
            </w:r>
          </w:p>
        </w:tc>
        <w:tc>
          <w:tcPr>
            <w:tcW w:type="dxa" w:w="771"/>
          </w:tcPr>
          <w:p>
            <w:pPr>
              <w:spacing w:before="0" w:after="0" w:line="264" w:lineRule="auto"/>
            </w:pPr>
            <w:r>
              <w:rPr>
                <w:color w:val="14202B"/>
                <w:sz w:val="17"/>
              </w:rPr>
              <w:t>m²</w:t>
            </w:r>
          </w:p>
        </w:tc>
        <w:tc>
          <w:tcPr>
            <w:tcW w:type="dxa" w:w="1157"/>
          </w:tcPr>
          <w:p>
            <w:pPr>
              <w:spacing w:before="0" w:after="0" w:line="264" w:lineRule="auto"/>
            </w:pPr>
            <w:r>
              <w:rPr>
                <w:color w:val="14202B"/>
                <w:sz w:val="17"/>
              </w:rPr>
              <w:t>[ ]</w:t>
            </w:r>
          </w:p>
        </w:tc>
      </w:tr>
      <w:tr>
        <w:trPr>
          <w:cantSplit/>
        </w:trPr>
        <w:tc>
          <w:tcPr>
            <w:tcW w:type="dxa" w:w="964"/>
            <w:shd w:val="clear" w:color="auto" w:fill="F8F9F6"/>
          </w:tcPr>
          <w:p>
            <w:pPr>
              <w:spacing w:before="0" w:after="0" w:line="264" w:lineRule="auto"/>
            </w:pPr>
            <w:r>
              <w:rPr>
                <w:color w:val="14202B"/>
                <w:sz w:val="17"/>
              </w:rPr>
              <w:t>[ ]</w:t>
            </w:r>
          </w:p>
        </w:tc>
        <w:tc>
          <w:tcPr>
            <w:tcW w:type="dxa" w:w="6746"/>
            <w:shd w:val="clear" w:color="auto" w:fill="F8F9F6"/>
          </w:tcPr>
          <w:p>
            <w:pPr>
              <w:spacing w:before="0" w:after="0" w:line="264" w:lineRule="auto"/>
            </w:pPr>
            <w:r>
              <w:rPr>
                <w:color w:val="14202B"/>
                <w:sz w:val="17"/>
              </w:rPr>
              <w:t>Pavimento modular [tipo], [ ] mm, conforme caderno de encargos</w:t>
            </w:r>
          </w:p>
        </w:tc>
        <w:tc>
          <w:tcPr>
            <w:tcW w:type="dxa" w:w="771"/>
            <w:shd w:val="clear" w:color="auto" w:fill="F8F9F6"/>
          </w:tcPr>
          <w:p>
            <w:pPr>
              <w:spacing w:before="0" w:after="0" w:line="264" w:lineRule="auto"/>
            </w:pPr>
            <w:r>
              <w:rPr>
                <w:color w:val="14202B"/>
                <w:sz w:val="17"/>
              </w:rPr>
              <w:t>m²</w:t>
            </w:r>
          </w:p>
        </w:tc>
        <w:tc>
          <w:tcPr>
            <w:tcW w:type="dxa" w:w="1157"/>
            <w:shd w:val="clear" w:color="auto" w:fill="F8F9F6"/>
          </w:tcPr>
          <w:p>
            <w:pPr>
              <w:spacing w:before="0" w:after="0" w:line="264" w:lineRule="auto"/>
            </w:pPr>
            <w:r>
              <w:rPr>
                <w:color w:val="14202B"/>
                <w:sz w:val="17"/>
              </w:rPr>
              <w:t>[ ]</w:t>
            </w:r>
          </w:p>
        </w:tc>
      </w:tr>
      <w:tr>
        <w:trPr>
          <w:cantSplit/>
        </w:trPr>
        <w:tc>
          <w:tcPr>
            <w:tcW w:type="dxa" w:w="964"/>
          </w:tcPr>
          <w:p>
            <w:pPr>
              <w:spacing w:before="0" w:after="0" w:line="264" w:lineRule="auto"/>
            </w:pPr>
            <w:r>
              <w:rPr>
                <w:color w:val="14202B"/>
                <w:sz w:val="17"/>
              </w:rPr>
              <w:t>[ ]</w:t>
            </w:r>
          </w:p>
        </w:tc>
        <w:tc>
          <w:tcPr>
            <w:tcW w:type="dxa" w:w="6746"/>
          </w:tcPr>
          <w:p>
            <w:pPr>
              <w:spacing w:before="0" w:after="0" w:line="264" w:lineRule="auto"/>
            </w:pPr>
            <w:r>
              <w:rPr>
                <w:color w:val="14202B"/>
                <w:sz w:val="17"/>
              </w:rPr>
              <w:t>Grelha ou caixa de inspeção sobre ralo</w:t>
            </w:r>
          </w:p>
        </w:tc>
        <w:tc>
          <w:tcPr>
            <w:tcW w:type="dxa" w:w="771"/>
          </w:tcPr>
          <w:p>
            <w:pPr>
              <w:spacing w:before="0" w:after="0" w:line="264" w:lineRule="auto"/>
            </w:pPr>
            <w:r>
              <w:rPr>
                <w:color w:val="14202B"/>
                <w:sz w:val="17"/>
              </w:rPr>
              <w:t>un.</w:t>
            </w:r>
          </w:p>
        </w:tc>
        <w:tc>
          <w:tcPr>
            <w:tcW w:type="dxa" w:w="1157"/>
          </w:tcPr>
          <w:p>
            <w:pPr>
              <w:spacing w:before="0" w:after="0" w:line="264" w:lineRule="auto"/>
            </w:pPr>
            <w:r>
              <w:rPr>
                <w:color w:val="14202B"/>
                <w:sz w:val="17"/>
              </w:rPr>
              <w:t>[ ]</w:t>
            </w:r>
          </w:p>
        </w:tc>
      </w:tr>
    </w:tbl>
    <w:p>
      <w:pPr>
        <w:spacing w:before="0" w:after="80" w:line="240" w:lineRule="auto"/>
      </w:pPr>
    </w:p>
    <w:tbl>
      <w:tblPr>
        <w:tblW w:type="auto" w:w="0"/>
        <w:tblLayout w:type="fixed"/>
        <w:tblLook w:firstColumn="1" w:firstRow="1" w:lastColumn="0" w:lastRow="0" w:noHBand="0" w:noVBand="1" w:val="04A0"/>
        <w:tblLayout w:type="fixed"/>
        <w:tblCellMar>
          <w:top w:w="113" w:type="dxa"/>
          <w:bottom w:w="113" w:type="dxa"/>
          <w:left w:w="170" w:type="dxa"/>
          <w:right w:w="170" w:type="dxa"/>
        </w:tblCellMar>
      </w:tblPr>
      <w:tblGrid>
        <w:gridCol w:w="9638"/>
      </w:tblGrid>
      <w:tr>
        <w:tc>
          <w:tcPr>
            <w:tcW w:type="dxa" w:w="9638"/>
            <w:shd w:val="clear" w:color="auto" w:fill="F3F5F0"/>
            <w:tcBorders>
              <w:left w:val="single" w:sz="18" w:color="4F6B2A"/>
            </w:tcBorders>
          </w:tcPr>
          <w:p>
            <w:pPr>
              <w:spacing w:before="0" w:after="0" w:line="276" w:lineRule="auto"/>
            </w:pPr>
            <w:r>
              <w:rPr>
                <w:color w:val="14202B"/>
                <w:sz w:val="18"/>
              </w:rPr>
              <w:t>A impermeabilização mede-se no capítulo próprio. Áreas medidas em projeção horizontal, sem descontar vãos inferiores a [1] m².</w:t>
            </w:r>
          </w:p>
        </w:tc>
      </w:tr>
    </w:tbl>
    <w:p>
      <w:pPr>
        <w:spacing w:after="0"/>
      </w:pPr>
    </w:p>
    <w:p>
      <w:pPr>
        <w:spacing w:before="240" w:after="0" w:line="276" w:lineRule="auto"/>
      </w:pPr>
      <w:r>
        <w:rPr>
          <w:color w:val="55606E"/>
          <w:sz w:val="15"/>
        </w:rPr>
        <w:t>Valores das fichas técnicas Nophadrain publicadas pela archiroof, das páginas de soluções e da calculadora archiroof. Os valores declarados são os do fabricante e podem ser alterados por ele; a versão em vigor confirma-se antes de prescrever. Espessuras de substrato, pendentes, faixas sem vegetação, rega, cargas da vegetação e lastro contra o vento: Guia Técnico da Associação Nacional de Coberturas Verdes (ANCV), com os quadros 14 (segundo as Diretrizes FLL, 2018) e 15 (segundo a NTJ 11C, 2012).</w:t>
      </w:r>
    </w:p>
    <w:sectPr w:rsidR="00FC693F" w:rsidRPr="0006063C" w:rsidSect="00034616">
      <w:headerReference w:type="default" r:id="rId9"/>
      <w:footerReference w:type="default" r:id="rId10"/>
      <w:pgSz w:w="11906" w:h="16838"/>
      <w:pgMar w:top="1701" w:right="1134" w:bottom="147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20" w:line="240" w:lineRule="auto"/>
      <w:pBdr>
        <w:top w:val="single" w:sz="6" w:space="4" w:color="4F6B2A"/>
      </w:pBdr>
    </w:pPr>
    <w:r>
      <w:rPr>
        <w:b/>
        <w:color w:val="4F6B2A"/>
        <w:sz w:val="16"/>
      </w:rPr>
      <w:t>archiroof.pt</w:t>
    </w:r>
    <w:r>
      <w:rPr>
        <w:color w:val="14202B"/>
        <w:sz w:val="15"/>
      </w:rPr>
      <w:t xml:space="preserve">   ·   info@archihub.pt   ·   220 924 484 </w:t>
    </w:r>
    <w:r>
      <w:rPr>
        <w:color w:val="55606E"/>
        <w:sz w:val="13"/>
      </w:rPr>
      <w:t>(chamada para a rede fixa nacional)</w:t>
    </w:r>
  </w:p>
  <w:p>
    <w:pPr>
      <w:spacing w:before="0" w:after="20" w:line="240" w:lineRule="auto"/>
    </w:pPr>
    <w:r>
      <w:rPr>
        <w:color w:val="55606E"/>
        <w:sz w:val="14"/>
      </w:rPr>
      <w:t>Av. Visconde Barreiros, Ed. Maia Luz, 1.º, Loja 19, 4470-151 Maia   ·   A archiroof é distribuidora em Portugal dos sistemas Nophadrain</w:t>
    </w:r>
  </w:p>
  <w:p>
    <w:pPr>
      <w:spacing w:before="0" w:after="0" w:line="240" w:lineRule="auto"/>
    </w:pPr>
    <w:r>
      <w:rPr>
        <w:color w:val="55606E"/>
        <w:sz w:val="14"/>
      </w:rPr>
      <w:t xml:space="preserve">Texto de especificação · Cobertura transitável Nophadrain · archiroof.pt · Nophadrain · página </w:t>
    </w:r>
    <w:r>
      <w:rPr>
        <w:color w:val="55606E"/>
        <w:sz w:val="14"/>
      </w:rPr>
      <w:fldChar w:fldCharType="begin"/>
    </w:r>
    <w:r>
      <w:rPr>
        <w:color w:val="55606E"/>
        <w:sz w:val="14"/>
      </w:rPr>
      <w:instrText xml:space="preserve"> PAGE </w:instrText>
    </w:r>
    <w:r>
      <w:rPr>
        <w:color w:val="55606E"/>
        <w:sz w:val="14"/>
      </w:rPr>
      <w:fldChar w:fldCharType="separate"/>
    </w:r>
    <w:r>
      <w:rPr>
        <w:color w:val="55606E"/>
        <w:sz w:val="14"/>
      </w:rPr>
      <w:t>1</w:t>
    </w:r>
    <w:r>
      <w:rPr>
        <w:color w:val="55606E"/>
        <w:sz w:val="14"/>
      </w:rPr>
      <w:fldChar w:fldCharType="end"/>
    </w:r>
    <w:r>
      <w:rPr>
        <w:color w:val="55606E"/>
        <w:sz w:val="14"/>
      </w:rPr>
      <w:t xml:space="preserve"> de </w:t>
    </w:r>
    <w:r>
      <w:rPr>
        <w:color w:val="55606E"/>
        <w:sz w:val="14"/>
      </w:rPr>
      <w:fldChar w:fldCharType="begin"/>
    </w:r>
    <w:r>
      <w:rPr>
        <w:color w:val="55606E"/>
        <w:sz w:val="14"/>
      </w:rPr>
      <w:instrText xml:space="preserve"> NUMPAGES </w:instrText>
    </w:r>
    <w:r>
      <w:rPr>
        <w:color w:val="55606E"/>
        <w:sz w:val="14"/>
      </w:rPr>
      <w:fldChar w:fldCharType="separate"/>
    </w:r>
    <w:r>
      <w:rPr>
        <w:color w:val="55606E"/>
        <w:sz w:val="14"/>
      </w:rPr>
      <w:t>1</w:t>
    </w:r>
    <w:r>
      <w:rPr>
        <w:color w:val="55606E"/>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ayout w:type="fixed"/>
      <w:tblLook w:firstColumn="1" w:firstRow="1" w:lastColumn="0" w:lastRow="0" w:noHBand="0" w:noVBand="1" w:val="04A0"/>
      <w:tblLayout w:type="fixed"/>
    </w:tblPr>
    <w:tblGrid>
      <w:gridCol w:w="4819"/>
      <w:gridCol w:w="4819"/>
    </w:tblGrid>
    <w:tr>
      <w:tc>
        <w:tcPr>
          <w:tcW w:type="dxa" w:w="4819"/>
          <w:vAlign w:val="center"/>
        </w:tcPr>
        <w:p>
          <w:pPr>
            <w:spacing w:before="0" w:after="0" w:line="240" w:lineRule="auto"/>
            <w:jc w:val="left"/>
          </w:pPr>
          <w:r>
            <w:drawing>
              <wp:inline xmlns:a="http://schemas.openxmlformats.org/drawingml/2006/main" xmlns:pic="http://schemas.openxmlformats.org/drawingml/2006/picture">
                <wp:extent cx="1193400" cy="306000"/>
                <wp:docPr id="1" name="Picture 1"/>
                <wp:cNvGraphicFramePr>
                  <a:graphicFrameLocks noChangeAspect="1"/>
                </wp:cNvGraphicFramePr>
                <a:graphic>
                  <a:graphicData uri="http://schemas.openxmlformats.org/drawingml/2006/picture">
                    <pic:pic>
                      <pic:nvPicPr>
                        <pic:cNvPr id="0" name="logo-archiroof.png"/>
                        <pic:cNvPicPr/>
                      </pic:nvPicPr>
                      <pic:blipFill>
                        <a:blip r:embed="rId1"/>
                        <a:stretch>
                          <a:fillRect/>
                        </a:stretch>
                      </pic:blipFill>
                      <pic:spPr>
                        <a:xfrm>
                          <a:off x="0" y="0"/>
                          <a:ext cx="1193400" cy="306000"/>
                        </a:xfrm>
                        <a:prstGeom prst="rect"/>
                      </pic:spPr>
                    </pic:pic>
                  </a:graphicData>
                </a:graphic>
              </wp:inline>
            </w:drawing>
          </w:r>
        </w:p>
      </w:tc>
      <w:tc>
        <w:tcPr>
          <w:tcW w:type="dxa" w:w="4819"/>
          <w:vAlign w:val="center"/>
        </w:tcPr>
        <w:p>
          <w:pPr>
            <w:spacing w:before="0" w:after="0" w:line="240" w:lineRule="auto"/>
            <w:jc w:val="right"/>
          </w:pPr>
          <w:r>
            <w:drawing>
              <wp:inline xmlns:a="http://schemas.openxmlformats.org/drawingml/2006/main" xmlns:pic="http://schemas.openxmlformats.org/drawingml/2006/picture">
                <wp:extent cx="384000" cy="216000"/>
                <wp:docPr id="2" name="Picture 2"/>
                <wp:cNvGraphicFramePr>
                  <a:graphicFrameLocks noChangeAspect="1"/>
                </wp:cNvGraphicFramePr>
                <a:graphic>
                  <a:graphicData uri="http://schemas.openxmlformats.org/drawingml/2006/picture">
                    <pic:pic>
                      <pic:nvPicPr>
                        <pic:cNvPr id="0" name="logo-nophadrain.png"/>
                        <pic:cNvPicPr/>
                      </pic:nvPicPr>
                      <pic:blipFill>
                        <a:blip r:embed="rId2"/>
                        <a:stretch>
                          <a:fillRect/>
                        </a:stretch>
                      </pic:blipFill>
                      <pic:spPr>
                        <a:xfrm>
                          <a:off x="0" y="0"/>
                          <a:ext cx="384000" cy="216000"/>
                        </a:xfrm>
                        <a:prstGeom prst="rect"/>
                      </pic:spPr>
                    </pic:pic>
                  </a:graphicData>
                </a:graphic>
              </wp:inline>
            </w:drawing>
          </w:r>
        </w:p>
      </w:tc>
    </w:tr>
  </w:tbl>
  <w:p>
    <w:pPr>
      <w:pStyle w:val="Header"/>
      <w:spacing w:before="0" w:after="0" w:line="240" w:lineRule="auto"/>
      <w:pBdr>
        <w:bottom w:val="single" w:sz="6" w:space="4" w:color="DFE4D9"/>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4202B"/>
      <w:sz w:val="20"/>
      <w:lang w:val="pt-P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de especificação: Cobertura transitável · archiroof</dc:title>
  <dc:subject>Memória descritiva, caderno de encargos e mapa de quantidades</dc:subject>
  <dc:creator>archiroof</dc:creator>
  <cp:keywords/>
  <dc:description>generated by python-docx</dc:description>
  <cp:lastModifiedBy/>
  <cp:revision>1</cp:revision>
  <dcterms:created xsi:type="dcterms:W3CDTF">2013-12-23T23:15:00Z</dcterms:created>
  <dcterms:modified xsi:type="dcterms:W3CDTF">2013-12-23T23:15:00Z</dcterms:modified>
  <cp:category/>
  <dc:language>pt-PT</dc:language>
</cp:coreProperties>
</file>